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ՍՄ-ՏՀ-ԷԱՃԱՊՁԲ-2026/02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մարզի Տեղի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Տեղ գյուղ, 35 փողոց, շենք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Տեղի համայնքապետարանի կարիքների համար «ՍՄ-ՏՀ-ԷԱՃԱՊՁԲ-2026/02» ծածկագրով էլեկտրոնային աճուրդի ձևով վառելիքի ձեռքբերման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055444252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harutyun721@gmail.com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մարզի Տեղի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ՍՄ-ՏՀ-ԷԱՃԱՊՁԲ-2026/02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մարզի Տեղի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մարզի Տեղի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Տեղի համայնքապետարանի կարիքների համար «ՍՄ-ՏՀ-ԷԱՃԱՊՁԲ-2026/02» ծածկագրով էլեկտրոնային աճուրդի ձևով վառելիքի ձեռքբերման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մարզի Տեղի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Տեղի համայնքապետարանի կարիքների համար «ՍՄ-ՏՀ-ԷԱՃԱՊՁԲ-2026/02» ծածկագրով էլեկտրոնային աճուրդի ձևով վառելիքի ձեռքբերման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ՍՄ-ՏՀ-ԷԱՃԱՊՁԲ-2026/02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harutyun721@gmail.com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Տեղի համայնքապետարանի կարիքների համար «ՍՄ-ՏՀ-ԷԱՃԱՊՁԲ-2026/02» ծածկագրով էլեկտրոնային աճուրդի ձևով վառելիքի ձեռքբերման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մարզի Տեղի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ՍՄ-ՏՀ-ԷԱՃԱՊՁԲ-2026/02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ՍՄ-ՏՀ-ԷԱՃԱՊՁԲ-2026/02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«ՍՄ-ՏՀ-ԷԱՃԱՊՁԲ-2026/02»*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մարզի Տեղի համայնքապետարան*  (այսուհետ` Պատվիրատու) կողմից կազմակերպված` ՍՄ-ՏՀ-ԷԱՃԱՊՁԲ-2026/02*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մարզի Տեղի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- 09215376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- 900285001666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«ՍՄ-ՏՀ-ԷԱՃԱՊՁԲ-2026/02»*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մարզի Տեղի համայնքապետարան*  (այսուհետ` Պատվիրատու) կողմից կազմակերպված` ՍՄ-ՏՀ-ԷԱՃԱՊՁԲ-2026/02*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մարզի Տեղի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- 09215376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- 900285001666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ՏԵՂԻ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պետք է կատարել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(1000լ Մատակարարումը պետք է կատարել կտրոններով, իսկ 3000լ առանց կտրոնների)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տրանսպորտայերի ներքին այրման շարժիչներում որպես վառելիք օգտագործելու համար , որը ստացվում է ԱԳԼՃԿ-ների տեխնոլոգիական պրոցեսների իրար հաջորդող գազի մշակման մի քանի փուլից է խառնուրդի մաքրում,խոնավության և այլ աղտոտիչների հեռացում և սեղմում, որը չի նախատեսում բաղադրիչների բաղադրության փոփոխություն, գլանոթի լցավորման ընթացքում բնական գազի կոմպրեսացված վառելիքի ավելցուկ ճնշումը պետք է համապատասխանի ԱԳԼՃ-ի և լցավորվող գազագլանոթային միջոցների տեխնիկական պայմաններին և չպետք է գերազանցի 19.6 ՄՊա ճնշման սահմանը, գլանոթ լցավորվող գազի ջերմաստիճանը պետք է լինի  400C, ստանդարտը ՝ ԳՈՍՏ 27577-2000, «Վախենում է կրակից», Հրավտանգ, Պայթունավտանգ, Կտրոնային՝ ՀՀ ամբողջ տարածքում։
Վճարումը կկատարվի փաստացի մատակարարված ապրանքների համար։
(Մատակարարումը պետք է կատարել առանց կտրոնների)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Տեղ 35-րդ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օրինական ուժի մեջ մտնելու օրվանից հաշված 21 օրացուցային օրվա ընթացքում, բացառությամբ այն դեպքերի, երբ մատակարարը համաձայնվում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Տեղ 35-րդ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օրինական ուժի մեջ մտնելու օրվանից հաշված 21 օրացուցային օրվա ընթացքում, բացառությամբ այն դեպքերի, երբ մատակարարը համաձայնվում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Տեղ 35-րդ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օրինական ուժի մեջ մտնելու օրվանից հաշված 21 օրացուցային օրվա ընթացքում, բացառությամբ այն դեպքերի, երբ մատակարարը համաձայնվում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