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ՍՄ-ՏՀ-ԷԱՃԱՊՁԲ-2026/02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Тех</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Тех, село Тех, улица 35, здание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harutyun721@gmail.com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055444252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Тех</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ՍՄ-ՏՀ-ԷԱՃԱՊՁԲ-2026/02</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Тех</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Тех</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Тех</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ՍՄ-ՏՀ-ԷԱՃԱՊՁԲ-2026/02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harutyun721@gmail.com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Тех</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"ՍՄ-ՏՀ-ԷԱՃԱՊՁԲ-2026/02"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Тех*(далее — Заказчик) процедуре закупок под кодом ՍՄ-ՏՀ-ԷԱՃԱՊՁԲ-2026/02*.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Тех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"ՍՄ-ՏՀ-ԷԱՃԱՊՁԲ-2026/02"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Тех*(далее — Заказчик) процедуре закупок под кодом ՍՄ-ՏՀ-ԷԱՃԱՊՁԲ-2026/02*.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Тех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ՍՄ-ՏՀ-ԷԱՃԱՊՁԲ-2026/02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менее 550 °C, содержание углерода в 10% осадка не более 0,3%, вязкость при 400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осуществляется с использованием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1000 л должна осуществляться с использованием купонов, а 3000 л — без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տրանսպորտայերի ներքին այրման շարժիչներում որպես վառելիք օգտագործելու համար , որը ստացվում է ԱԳԼՃԿ-ների տեխնոլոգիական պրոցեսների իրար հաջորդող գազի մշակման մի քանի փուլից է խառնուրդի մաքրում,խոնավության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Պայթունավտանգ, Կտրոնային՝ ՀՀ ամբողջ տարածքում։
Վճարումը կկատարվի փաստացի մատակարարված ապրանքների համար։
(Մատակարարումը պետք է կատարել առանց կտրոնների)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