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печати и штампы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ԷԱՃԱՊՁԲ-2026/Լ-25</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печати и штампы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печати и штампы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печати и штампы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ԷԱՃԱՊՁԲ-2026/Լ-25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ԷԱՃԱՊՁԲ-2026/Լ-25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печать с изображением герба РА. В центре круга помещается изображение герба РА, а по окружности – наименования Министерства внутренних дел РА и подчиненных ему государственных органов (Служба спасения, Полиция, Миграционная служба и Гражданская служба) на других языках,в общей сложности не более чем на двух иностранных языках, при необходимости с указанием номера плательщика НДС. Печать должна иметь соответствующие средства защиты от подделки (например, микротекст). Круглые печати изготавливаются из высококачественного материала, с пластиковой формой водонепроницаемые, износостойкие, диаметром не менее 30 мм (чертеж круглой печати и надпись предоставляются заказчиком участнику).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круглые и треугольныепечатис названиями Министерства внутренних дел РА и подчиненных ему Государственных органов (Служба спасения, Полиция, Миграционная служба и Гражданская служба) на армянском языке, а при необходимости и на двух иностранных языках. Печати будут изготовлен из высококачественного материала, с деревянными или пластиковыми ручками, обеспечивающими читаемость текста. (Рисунки и надписи на печатях заказчик предоставит участнику).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