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ՀԱՊՀՎՄ-ԷԱԾՁԲ-26/1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ՎԱՆԱՁՈՐԻ ՄԱՍՆԱՃՅՈՒՂԻ   ԿԱՐԻՔՆԵՐԻ ՀԱՄԱՐ` ՀԱՄԱՑԱՆՑԻ  ԾԱՌԱՅՈՒԹՅԱՆ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anahit.arakelyan@polytechnic.am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ՀԱՊՀՎՄ-ԷԱԾՁԲ-26/1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ՎԱՆԱՁՈՐԻ ՄԱՍՆԱՃՅՈՒՂԻ   ԿԱՐԻՔՆԵՐԻ ՀԱՄԱՐ` ՀԱՄԱՑԱՆՑԻ  ԾԱՌԱՅՈՒԹՅԱՆ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ՎԱՆԱՁՈՐԻ ՄԱՍՆԱՃՅՈՒՂԻ   ԿԱՐԻՔՆԵՐԻ ՀԱՄԱՐ` ՀԱՄԱՑԱՆՑԻ  ԾԱՌԱՅՈՒԹՅԱՆ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ՀԱՊՀՎՄ-ԷԱԾՁԲ-26/1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anahit.arakelyan@polytechnic.am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ՎԱՆԱՁՈՐԻ ՄԱՍՆԱՃՅՈՒՂԻ   ԿԱՐԻՔՆԵՐԻ ՀԱՄԱՐ` ՀԱՄԱՑԱՆՑԻ  ԾԱՌԱՅՈՒԹՅԱՆ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ՀԱՊՀՎՄ-ԷԱԾՁԲ-26/1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ՀԱՊՀՎՄ-ԷԱԾՁԲ-26/1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ՀԱՊՀՎՄ-ԷԱԾՁԲ-26/1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«ՀԱՊՀՎՄ-ԷԱԾՁԲ-26/1»*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«ՀԱՊՀՎՄ-ԷԱԾՁԲ-26/1»*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բայց ոչ շուտ  քան 24.03.2026-ից, 3 տարի ժամկետով, ընդ որում     2027, 2028 և 2029 թվականներին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