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9307D" w14:textId="77777777" w:rsidR="00333A5B" w:rsidRDefault="00333A5B" w:rsidP="00333A5B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p w14:paraId="28E617C2" w14:textId="77777777" w:rsidR="00333A5B" w:rsidRPr="00087C61" w:rsidRDefault="00333A5B" w:rsidP="00333A5B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tbl>
      <w:tblPr>
        <w:tblStyle w:val="a3"/>
        <w:tblW w:w="159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7"/>
        <w:gridCol w:w="1201"/>
        <w:gridCol w:w="2268"/>
        <w:gridCol w:w="4286"/>
        <w:gridCol w:w="958"/>
        <w:gridCol w:w="1276"/>
        <w:gridCol w:w="1134"/>
        <w:gridCol w:w="1134"/>
        <w:gridCol w:w="1451"/>
        <w:gridCol w:w="1809"/>
      </w:tblGrid>
      <w:tr w:rsidR="00333A5B" w:rsidRPr="00E773EF" w14:paraId="5F960DE2" w14:textId="77777777" w:rsidTr="00333A5B">
        <w:trPr>
          <w:trHeight w:val="4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3A21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504D6DC" w14:textId="77777777" w:rsidR="00333A5B" w:rsidRPr="00087C61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Չ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087C61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55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38BB7" w14:textId="77777777" w:rsidR="00333A5B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Ապրանքի</w:t>
            </w:r>
          </w:p>
          <w:p w14:paraId="4403C47F" w14:textId="77777777" w:rsidR="00333A5B" w:rsidRPr="007D375D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Товара</w:t>
            </w:r>
          </w:p>
        </w:tc>
      </w:tr>
      <w:tr w:rsidR="00333A5B" w:rsidRPr="00E773EF" w14:paraId="00E85DF8" w14:textId="77777777" w:rsidTr="00C60920">
        <w:trPr>
          <w:trHeight w:val="34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7776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6B3F8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Միջան</w:t>
            </w:r>
            <w:r w:rsidRPr="004A6333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E773EF">
              <w:rPr>
                <w:rFonts w:ascii="GHEA Grapalat" w:hAnsi="GHEA Grapalat"/>
                <w:sz w:val="20"/>
                <w:szCs w:val="20"/>
              </w:rPr>
              <w:t>ցիկ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773EF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E773EF">
              <w:rPr>
                <w:rFonts w:ascii="GHEA Grapalat" w:hAnsi="GHEA Grapalat"/>
                <w:sz w:val="20"/>
                <w:szCs w:val="20"/>
              </w:rPr>
              <w:t>ըստ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773EF">
              <w:rPr>
                <w:rFonts w:ascii="GHEA Grapalat" w:hAnsi="GHEA Grapalat"/>
                <w:sz w:val="20"/>
                <w:szCs w:val="20"/>
              </w:rPr>
              <w:t>ԳՄԱ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773EF">
              <w:rPr>
                <w:rFonts w:ascii="GHEA Grapalat" w:hAnsi="GHEA Grapalat"/>
                <w:sz w:val="20"/>
                <w:szCs w:val="20"/>
              </w:rPr>
              <w:t>դասակարգման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2395" w14:textId="77777777" w:rsidR="00333A5B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  <w:p w14:paraId="6D18F9F2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4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AB8D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Հատկանիշները</w:t>
            </w:r>
          </w:p>
          <w:p w14:paraId="29773D21" w14:textId="77777777" w:rsidR="00333A5B" w:rsidRPr="00F36352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36352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  <w:p w14:paraId="5E70ED09" w14:textId="77777777" w:rsidR="00333A5B" w:rsidRPr="00F36352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36352">
              <w:rPr>
                <w:rFonts w:ascii="GHEA Grapalat" w:hAnsi="GHEA Grapalat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4824" w14:textId="77777777" w:rsidR="00333A5B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Չափ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Pr="00E773EF">
              <w:rPr>
                <w:rFonts w:ascii="GHEA Grapalat" w:hAnsi="GHEA Grapalat"/>
                <w:sz w:val="20"/>
                <w:szCs w:val="20"/>
              </w:rPr>
              <w:t>ման միա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Pr="00E773EF">
              <w:rPr>
                <w:rFonts w:ascii="GHEA Grapalat" w:hAnsi="GHEA Grapalat"/>
                <w:sz w:val="20"/>
                <w:szCs w:val="20"/>
              </w:rPr>
              <w:t>վորը</w:t>
            </w:r>
          </w:p>
          <w:p w14:paraId="62D646B2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Единица измере-ния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0EA7" w14:textId="77777777" w:rsidR="00333A5B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Ընդհա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Pr="00E773EF">
              <w:rPr>
                <w:rFonts w:ascii="GHEA Grapalat" w:hAnsi="GHEA Grapalat"/>
                <w:sz w:val="20"/>
                <w:szCs w:val="20"/>
              </w:rPr>
              <w:t>նուր  քանակը</w:t>
            </w:r>
          </w:p>
          <w:p w14:paraId="6035FD66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71F01" w14:textId="77777777" w:rsidR="00333A5B" w:rsidRPr="0033330A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330A">
              <w:rPr>
                <w:rFonts w:ascii="GHEA Grapalat" w:hAnsi="GHEA Grapalat"/>
                <w:sz w:val="20"/>
                <w:szCs w:val="20"/>
              </w:rPr>
              <w:t>Միավորի  գինը</w:t>
            </w:r>
          </w:p>
          <w:p w14:paraId="54636ECB" w14:textId="3DE33FE7" w:rsidR="00333A5B" w:rsidRPr="0033330A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330A">
              <w:rPr>
                <w:rFonts w:ascii="GHEA Grapalat" w:hAnsi="GHEA Grapalat"/>
                <w:sz w:val="20"/>
                <w:szCs w:val="20"/>
              </w:rPr>
              <w:t xml:space="preserve">Цена единицы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42C8" w14:textId="77777777" w:rsidR="00333A5B" w:rsidRPr="0033330A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330A">
              <w:rPr>
                <w:rFonts w:ascii="GHEA Grapalat" w:hAnsi="GHEA Grapalat"/>
                <w:sz w:val="20"/>
                <w:szCs w:val="20"/>
              </w:rPr>
              <w:t xml:space="preserve">Գումարը </w:t>
            </w:r>
          </w:p>
          <w:p w14:paraId="4E60C926" w14:textId="52175AE8" w:rsidR="00333A5B" w:rsidRPr="0033330A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3330A">
              <w:rPr>
                <w:rFonts w:ascii="GHEA Grapalat" w:hAnsi="GHEA Grapalat"/>
                <w:sz w:val="20"/>
                <w:szCs w:val="20"/>
              </w:rPr>
              <w:t xml:space="preserve">Сумма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A8FE" w14:textId="77777777" w:rsidR="00333A5B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  <w:p w14:paraId="2A8D1195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Поставки</w:t>
            </w:r>
          </w:p>
        </w:tc>
      </w:tr>
      <w:tr w:rsidR="00333A5B" w:rsidRPr="00E773EF" w14:paraId="6E77A00E" w14:textId="77777777" w:rsidTr="00C60920">
        <w:trPr>
          <w:trHeight w:val="161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A897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9D39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562C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8DE3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DDE9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0E72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EFF90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EA1C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3A37" w14:textId="77777777" w:rsidR="00333A5B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Հասցեն</w:t>
            </w:r>
          </w:p>
          <w:p w14:paraId="617E4E88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7AF97" w14:textId="77777777" w:rsidR="00333A5B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  <w:p w14:paraId="67381B2E" w14:textId="77777777" w:rsidR="00333A5B" w:rsidRPr="00E773EF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333A5B" w:rsidRPr="00F177B8" w14:paraId="3C4936E7" w14:textId="77777777" w:rsidTr="00C60920">
        <w:trPr>
          <w:trHeight w:val="7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42BF3" w14:textId="77777777" w:rsidR="00333A5B" w:rsidRPr="00425B9E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25B9E">
              <w:rPr>
                <w:rFonts w:ascii="GHEA Grapalat" w:hAnsi="GHEA Grapalat"/>
                <w:sz w:val="20"/>
                <w:szCs w:val="20"/>
              </w:rPr>
              <w:t>1</w:t>
            </w:r>
            <w:r w:rsidRPr="00425B9E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6F4A7" w14:textId="77777777" w:rsidR="00333A5B" w:rsidRPr="00425B9E" w:rsidRDefault="00333A5B" w:rsidP="002B4D28">
            <w:pPr>
              <w:contextualSpacing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425B9E">
              <w:rPr>
                <w:rFonts w:ascii="GHEA Grapalat" w:hAnsi="GHEA Grapalat" w:cs="Arial CYR"/>
                <w:sz w:val="20"/>
                <w:szCs w:val="20"/>
              </w:rPr>
              <w:t>31161180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46962" w14:textId="50C0D3D2" w:rsidR="00333A5B" w:rsidRPr="00425B9E" w:rsidRDefault="00333A5B" w:rsidP="00C6092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25B9E">
              <w:rPr>
                <w:rFonts w:ascii="GHEA Grapalat" w:hAnsi="GHEA Grapalat"/>
                <w:b/>
                <w:sz w:val="20"/>
                <w:szCs w:val="20"/>
              </w:rPr>
              <w:t>ПГВ-4С տեսակի Շոգեգեներատոր-ների պահեստամասերի</w:t>
            </w:r>
          </w:p>
          <w:p w14:paraId="6D7BAFB6" w14:textId="77777777" w:rsidR="00333A5B" w:rsidRPr="00425B9E" w:rsidRDefault="00333A5B" w:rsidP="00C6092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25B9E">
              <w:rPr>
                <w:rFonts w:ascii="GHEA Grapalat" w:hAnsi="GHEA Grapalat"/>
                <w:b/>
                <w:sz w:val="20"/>
                <w:szCs w:val="20"/>
              </w:rPr>
              <w:t>ЗИП к парогенератору типа ПГВ-4С</w:t>
            </w:r>
          </w:p>
          <w:p w14:paraId="3D10D486" w14:textId="108AF4EF" w:rsidR="00333A5B" w:rsidRPr="00425B9E" w:rsidRDefault="00333A5B" w:rsidP="002B4D28">
            <w:pPr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F8D0" w14:textId="77777777" w:rsidR="00333A5B" w:rsidRPr="00425B9E" w:rsidRDefault="00333A5B" w:rsidP="00C60920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425B9E">
              <w:rPr>
                <w:rFonts w:ascii="GHEA Grapalat" w:hAnsi="GHEA Grapalat" w:cs="Arial CYR"/>
                <w:color w:val="000000"/>
                <w:sz w:val="20"/>
                <w:szCs w:val="20"/>
              </w:rPr>
              <w:t>1</w:t>
            </w:r>
            <w:r w:rsidRPr="00425B9E">
              <w:rPr>
                <w:rFonts w:ascii="GHEA Grapalat" w:hAnsi="GHEA Grapalat"/>
                <w:b/>
                <w:sz w:val="20"/>
                <w:szCs w:val="20"/>
              </w:rPr>
              <w:t>.</w:t>
            </w:r>
            <w:r w:rsidRPr="00425B9E">
              <w:rPr>
                <w:rFonts w:ascii="GHEA Grapalat" w:hAnsi="GHEA Grapalat" w:cs="Arial CYR"/>
                <w:color w:val="000000"/>
                <w:sz w:val="20"/>
                <w:szCs w:val="20"/>
              </w:rPr>
              <w:t>1 Լրալցնող  օղակ   VK  3295/1 – 4 հատ</w:t>
            </w:r>
            <w:r w:rsidRPr="00425B9E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     Заполняющее кольцо  VK  3295/1 – 4 </w:t>
            </w:r>
          </w:p>
          <w:p w14:paraId="65171F1F" w14:textId="77777777" w:rsidR="00333A5B" w:rsidRPr="00425B9E" w:rsidRDefault="00333A5B" w:rsidP="00C60920">
            <w:pPr>
              <w:spacing w:after="0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425B9E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   штук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1E71E" w14:textId="77777777" w:rsidR="00333A5B" w:rsidRPr="00425B9E" w:rsidRDefault="00333A5B" w:rsidP="002B4D28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425B9E">
              <w:rPr>
                <w:rFonts w:ascii="GHEA Grapalat" w:hAnsi="GHEA Grapalat" w:cs="Arial CYR"/>
                <w:sz w:val="20"/>
                <w:szCs w:val="20"/>
              </w:rPr>
              <w:t>հատ штук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C313B" w14:textId="77777777" w:rsidR="00333A5B" w:rsidRPr="00425B9E" w:rsidRDefault="00333A5B" w:rsidP="002B4D28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25B9E">
              <w:rPr>
                <w:rFonts w:ascii="GHEA Grapalat" w:hAnsi="GHEA Grapalat" w:cs="Arial CYR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597B47" w14:textId="77777777" w:rsidR="00333A5B" w:rsidRPr="00425B9E" w:rsidRDefault="00333A5B" w:rsidP="002B4D28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DB1A47" w14:textId="2EE187DD" w:rsidR="00333A5B" w:rsidRPr="00425B9E" w:rsidRDefault="00333A5B" w:rsidP="00C60920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425B9E">
              <w:rPr>
                <w:rFonts w:ascii="GHEA Grapalat" w:hAnsi="GHEA Grapalat"/>
                <w:b/>
                <w:sz w:val="20"/>
                <w:szCs w:val="20"/>
              </w:rPr>
              <w:t>63</w:t>
            </w:r>
            <w:r w:rsidR="00C60920" w:rsidRPr="00425B9E">
              <w:rPr>
                <w:rFonts w:ascii="Calibri" w:hAnsi="Calibri" w:cs="Calibri"/>
                <w:b/>
                <w:sz w:val="20"/>
                <w:szCs w:val="20"/>
                <w:lang w:val="ru-RU"/>
              </w:rPr>
              <w:t> </w:t>
            </w:r>
            <w:r w:rsidRPr="00425B9E">
              <w:rPr>
                <w:rFonts w:ascii="GHEA Grapalat" w:hAnsi="GHEA Grapalat"/>
                <w:b/>
                <w:sz w:val="20"/>
                <w:szCs w:val="20"/>
              </w:rPr>
              <w:t>653</w:t>
            </w:r>
            <w:r w:rsidR="00C60920" w:rsidRPr="00425B9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425B9E">
              <w:rPr>
                <w:rFonts w:ascii="GHEA Grapalat" w:hAnsi="GHEA Grapalat"/>
                <w:b/>
                <w:sz w:val="20"/>
                <w:szCs w:val="20"/>
              </w:rPr>
              <w:t>6</w:t>
            </w:r>
            <w:r w:rsidR="00C60920" w:rsidRPr="00425B9E">
              <w:rPr>
                <w:rFonts w:ascii="GHEA Grapalat" w:hAnsi="GHEA Grapalat"/>
                <w:b/>
                <w:sz w:val="20"/>
                <w:szCs w:val="20"/>
                <w:lang w:val="ru-RU"/>
              </w:rPr>
              <w:t>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8BD436" w14:textId="77777777" w:rsidR="00333A5B" w:rsidRPr="00425B9E" w:rsidRDefault="00333A5B" w:rsidP="00C60920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25B9E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Pr="00425B9E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r w:rsidRPr="00425B9E">
              <w:rPr>
                <w:rFonts w:ascii="GHEA Grapalat" w:hAnsi="GHEA Grapalat"/>
                <w:b/>
                <w:sz w:val="20"/>
                <w:szCs w:val="20"/>
              </w:rPr>
              <w:t>Արմավիրի մարզ, ք</w:t>
            </w:r>
            <w:r w:rsidRPr="00425B9E">
              <w:rPr>
                <w:rFonts w:ascii="Cambria Math" w:hAnsi="Cambria Math" w:cs="Cambria Math"/>
                <w:b/>
                <w:sz w:val="20"/>
                <w:szCs w:val="20"/>
              </w:rPr>
              <w:t>․</w:t>
            </w:r>
            <w:r w:rsidRPr="00425B9E">
              <w:rPr>
                <w:rFonts w:ascii="GHEA Grapalat" w:hAnsi="GHEA Grapalat"/>
                <w:b/>
                <w:sz w:val="20"/>
                <w:szCs w:val="20"/>
              </w:rPr>
              <w:t xml:space="preserve"> Մեծամոր </w:t>
            </w:r>
          </w:p>
          <w:p w14:paraId="3C58DADB" w14:textId="77777777" w:rsidR="00333A5B" w:rsidRPr="00425B9E" w:rsidRDefault="00333A5B" w:rsidP="00C60920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25B9E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ЗАО «ААЭК», Армавирский марз, г. Мецамор, 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0E916" w14:textId="77777777" w:rsidR="00333A5B" w:rsidRPr="00425B9E" w:rsidRDefault="00333A5B" w:rsidP="00C60920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425B9E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Պայմանագրի կնքման օրվանից մինչև ՊՆՎ-2027թ</w:t>
            </w:r>
            <w:r w:rsidRPr="00425B9E">
              <w:rPr>
                <w:rFonts w:ascii="Cambria Math" w:hAnsi="Cambria Math" w:cs="Cambria Math"/>
                <w:b/>
                <w:color w:val="000000" w:themeColor="text1"/>
                <w:sz w:val="20"/>
                <w:szCs w:val="20"/>
              </w:rPr>
              <w:t>․</w:t>
            </w:r>
            <w:r w:rsidRPr="00425B9E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 (01.04.2027թ</w:t>
            </w:r>
            <w:r w:rsidRPr="00425B9E">
              <w:rPr>
                <w:rFonts w:ascii="Cambria Math" w:hAnsi="Cambria Math" w:cs="Cambria Math"/>
                <w:b/>
                <w:color w:val="000000" w:themeColor="text1"/>
                <w:sz w:val="20"/>
                <w:szCs w:val="20"/>
              </w:rPr>
              <w:t>․</w:t>
            </w:r>
            <w:r w:rsidRPr="00425B9E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) </w:t>
            </w:r>
          </w:p>
          <w:p w14:paraId="648ACF8D" w14:textId="77777777" w:rsidR="00333A5B" w:rsidRPr="00425B9E" w:rsidRDefault="00333A5B" w:rsidP="00C60920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25B9E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С даты заключения договора до ППР-2027г. (01.04.2027г.)</w:t>
            </w:r>
          </w:p>
        </w:tc>
      </w:tr>
      <w:tr w:rsidR="00333A5B" w:rsidRPr="00F177B8" w14:paraId="60B230CE" w14:textId="77777777" w:rsidTr="00C60920">
        <w:trPr>
          <w:trHeight w:val="973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C1E39" w14:textId="77777777" w:rsidR="00333A5B" w:rsidRPr="00F177B8" w:rsidRDefault="00333A5B" w:rsidP="002B4D2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05689" w14:textId="77777777" w:rsidR="00333A5B" w:rsidRPr="00F177B8" w:rsidRDefault="00333A5B" w:rsidP="002B4D2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499D6" w14:textId="77777777" w:rsidR="00333A5B" w:rsidRPr="00F177B8" w:rsidRDefault="00333A5B" w:rsidP="002B4D2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9F4E" w14:textId="77777777" w:rsidR="00333A5B" w:rsidRDefault="00333A5B" w:rsidP="00C60920">
            <w:pPr>
              <w:spacing w:after="0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</w:t>
            </w:r>
            <w:r w:rsidRPr="005B2AE2">
              <w:rPr>
                <w:rFonts w:ascii="GHEA Grapalat" w:hAnsi="GHEA Grapalat"/>
                <w:b/>
              </w:rPr>
              <w:t>.</w:t>
            </w:r>
            <w:r>
              <w:rPr>
                <w:rFonts w:ascii="GHEA Grapalat" w:hAnsi="GHEA Grapalat" w:cs="Arial CYR"/>
                <w:color w:val="000000"/>
              </w:rPr>
              <w:t xml:space="preserve">2 </w:t>
            </w:r>
            <w:r w:rsidRPr="00F177B8">
              <w:rPr>
                <w:rFonts w:ascii="GHEA Grapalat" w:hAnsi="GHEA Grapalat" w:cs="Arial CYR"/>
                <w:color w:val="000000"/>
              </w:rPr>
              <w:t xml:space="preserve">Լրալցնող  օղակ  </w:t>
            </w:r>
            <w:r>
              <w:rPr>
                <w:rFonts w:ascii="GHEA Grapalat" w:hAnsi="GHEA Grapalat" w:cs="Arial CYR"/>
                <w:color w:val="000000"/>
              </w:rPr>
              <w:t>- 4 հատ</w:t>
            </w:r>
            <w:r w:rsidRPr="00F177B8">
              <w:rPr>
                <w:rFonts w:ascii="GHEA Grapalat" w:hAnsi="GHEA Grapalat" w:cs="Arial CYR"/>
                <w:color w:val="000000"/>
              </w:rPr>
              <w:br/>
            </w:r>
            <w:r>
              <w:rPr>
                <w:rFonts w:ascii="GHEA Grapalat" w:hAnsi="GHEA Grapalat" w:cs="Arial CYR"/>
                <w:color w:val="000000"/>
              </w:rPr>
              <w:t xml:space="preserve">     </w:t>
            </w:r>
            <w:r w:rsidRPr="00F177B8">
              <w:rPr>
                <w:rFonts w:ascii="GHEA Grapalat" w:hAnsi="GHEA Grapalat" w:cs="Arial CYR"/>
                <w:color w:val="000000"/>
              </w:rPr>
              <w:t>Заполняющее кольцо VK  3295/2</w:t>
            </w:r>
            <w:r>
              <w:rPr>
                <w:rFonts w:ascii="GHEA Grapalat" w:hAnsi="GHEA Grapalat" w:cs="Arial CYR"/>
                <w:color w:val="000000"/>
              </w:rPr>
              <w:t xml:space="preserve"> - 4 </w:t>
            </w:r>
          </w:p>
          <w:p w14:paraId="28F230DB" w14:textId="77777777" w:rsidR="00333A5B" w:rsidRPr="00F177B8" w:rsidRDefault="00333A5B" w:rsidP="00C60920">
            <w:pPr>
              <w:spacing w:after="0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 xml:space="preserve">     </w:t>
            </w:r>
            <w:r w:rsidRPr="003A40FC">
              <w:rPr>
                <w:rFonts w:ascii="GHEA Grapalat" w:hAnsi="GHEA Grapalat" w:cs="Arial CYR"/>
                <w:color w:val="000000"/>
              </w:rPr>
              <w:t>штук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8F9E7" w14:textId="77777777" w:rsidR="00333A5B" w:rsidRPr="00F177B8" w:rsidRDefault="00333A5B" w:rsidP="002B4D2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8038A" w14:textId="77777777" w:rsidR="00333A5B" w:rsidRPr="001320C0" w:rsidRDefault="00333A5B" w:rsidP="002B4D2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C78E8" w14:textId="77777777" w:rsidR="00333A5B" w:rsidRPr="001320C0" w:rsidRDefault="00333A5B" w:rsidP="002B4D2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749D4" w14:textId="77777777" w:rsidR="00333A5B" w:rsidRPr="00F177B8" w:rsidRDefault="00333A5B" w:rsidP="002B4D2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381E63" w14:textId="77777777" w:rsidR="00333A5B" w:rsidRPr="00F177B8" w:rsidRDefault="00333A5B" w:rsidP="002B4D2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6F283AC" w14:textId="77777777" w:rsidR="00333A5B" w:rsidRPr="00F177B8" w:rsidRDefault="00333A5B" w:rsidP="002B4D2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  <w:tr w:rsidR="00333A5B" w:rsidRPr="00F177B8" w14:paraId="36FC0856" w14:textId="77777777" w:rsidTr="00C60920">
        <w:trPr>
          <w:trHeight w:val="134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72814" w14:textId="77777777" w:rsidR="00333A5B" w:rsidRPr="00F177B8" w:rsidRDefault="00333A5B" w:rsidP="002B4D2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9478E" w14:textId="77777777" w:rsidR="00333A5B" w:rsidRPr="00F177B8" w:rsidRDefault="00333A5B" w:rsidP="002B4D28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AE694" w14:textId="77777777" w:rsidR="00333A5B" w:rsidRPr="00F177B8" w:rsidRDefault="00333A5B" w:rsidP="002B4D28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363FC" w14:textId="57611503" w:rsidR="00333A5B" w:rsidRPr="00F177B8" w:rsidRDefault="00333A5B" w:rsidP="00C60920">
            <w:pPr>
              <w:spacing w:after="0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1</w:t>
            </w:r>
            <w:r w:rsidRPr="005B2AE2">
              <w:rPr>
                <w:rFonts w:ascii="GHEA Grapalat" w:hAnsi="GHEA Grapalat"/>
                <w:b/>
              </w:rPr>
              <w:t>.</w:t>
            </w:r>
            <w:r>
              <w:rPr>
                <w:rFonts w:ascii="GHEA Grapalat" w:hAnsi="GHEA Grapalat" w:cs="Arial CYR"/>
                <w:color w:val="000000"/>
              </w:rPr>
              <w:t xml:space="preserve">3 </w:t>
            </w:r>
            <w:r w:rsidRPr="00F177B8">
              <w:rPr>
                <w:rFonts w:ascii="GHEA Grapalat" w:hAnsi="GHEA Grapalat" w:cs="Arial CYR"/>
                <w:color w:val="000000"/>
              </w:rPr>
              <w:t xml:space="preserve">Կատարավոր  միջադիր   </w:t>
            </w:r>
            <w:r>
              <w:rPr>
                <w:rFonts w:ascii="GHEA Grapalat" w:hAnsi="GHEA Grapalat" w:cs="Arial CYR"/>
                <w:color w:val="000000"/>
              </w:rPr>
              <w:t>- 4 հատ</w:t>
            </w:r>
            <w:r w:rsidRPr="00F177B8">
              <w:rPr>
                <w:rFonts w:ascii="GHEA Grapalat" w:hAnsi="GHEA Grapalat" w:cs="Arial CYR"/>
                <w:color w:val="000000"/>
              </w:rPr>
              <w:br/>
            </w:r>
            <w:r>
              <w:rPr>
                <w:rFonts w:ascii="GHEA Grapalat" w:hAnsi="GHEA Grapalat" w:cs="Arial CYR"/>
                <w:color w:val="000000"/>
              </w:rPr>
              <w:t xml:space="preserve">     </w:t>
            </w:r>
            <w:r w:rsidRPr="00F177B8">
              <w:rPr>
                <w:rFonts w:ascii="GHEA Grapalat" w:hAnsi="GHEA Grapalat" w:cs="Arial CYR"/>
                <w:color w:val="000000"/>
              </w:rPr>
              <w:t>Прокладка гребенчатая Т 3295 Տ.Т.</w:t>
            </w:r>
            <w:r>
              <w:rPr>
                <w:rFonts w:ascii="GHEA Grapalat" w:hAnsi="GHEA Grapalat" w:cs="Arial CYR"/>
                <w:color w:val="000000"/>
              </w:rPr>
              <w:t xml:space="preserve"> – 4 </w:t>
            </w:r>
            <w:r w:rsidRPr="003A40FC">
              <w:rPr>
                <w:rFonts w:ascii="GHEA Grapalat" w:hAnsi="GHEA Grapalat" w:cs="Arial CYR"/>
                <w:color w:val="000000"/>
              </w:rPr>
              <w:t>штук</w:t>
            </w: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F91E9" w14:textId="77777777" w:rsidR="00333A5B" w:rsidRPr="00F177B8" w:rsidRDefault="00333A5B" w:rsidP="002B4D2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D8FE8" w14:textId="77777777" w:rsidR="00333A5B" w:rsidRPr="00425B9E" w:rsidRDefault="00333A5B" w:rsidP="002B4D2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67F4A" w14:textId="77777777" w:rsidR="00333A5B" w:rsidRPr="00F177B8" w:rsidRDefault="00333A5B" w:rsidP="002B4D28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E02B6" w14:textId="77777777" w:rsidR="00333A5B" w:rsidRPr="00F177B8" w:rsidRDefault="00333A5B" w:rsidP="002B4D28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5AEF3C" w14:textId="77777777" w:rsidR="00333A5B" w:rsidRPr="00F177B8" w:rsidRDefault="00333A5B" w:rsidP="002B4D2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D98B8F3" w14:textId="77777777" w:rsidR="00333A5B" w:rsidRPr="00F177B8" w:rsidRDefault="00333A5B" w:rsidP="002B4D2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</w:p>
        </w:tc>
      </w:tr>
    </w:tbl>
    <w:p w14:paraId="7DD89EB5" w14:textId="77777777" w:rsidR="00333A5B" w:rsidRPr="00F460ED" w:rsidRDefault="00333A5B" w:rsidP="00333A5B">
      <w:pPr>
        <w:spacing w:after="0"/>
        <w:ind w:firstLine="708"/>
        <w:jc w:val="both"/>
        <w:rPr>
          <w:rFonts w:ascii="GHEA Grapalat" w:hAnsi="GHEA Grapalat" w:cs="Arial"/>
          <w:iCs/>
          <w:sz w:val="20"/>
          <w:szCs w:val="20"/>
        </w:rPr>
      </w:pPr>
    </w:p>
    <w:p w14:paraId="7A4D934A" w14:textId="77777777" w:rsidR="00333A5B" w:rsidRPr="00780317" w:rsidRDefault="00333A5B" w:rsidP="00333A5B">
      <w:pPr>
        <w:spacing w:line="360" w:lineRule="auto"/>
        <w:ind w:left="270"/>
        <w:contextualSpacing/>
        <w:rPr>
          <w:rFonts w:ascii="GHEA Grapalat" w:hAnsi="GHEA Grapalat" w:cs="Sylfaen"/>
          <w:lang w:val="pt-BR"/>
        </w:rPr>
      </w:pPr>
      <w:r>
        <w:rPr>
          <w:rFonts w:ascii="GHEA Grapalat" w:hAnsi="GHEA Grapalat" w:cs="Times New Roman"/>
          <w:b/>
        </w:rPr>
        <w:t>Լրացուցիչ պահանջներ</w:t>
      </w:r>
    </w:p>
    <w:p w14:paraId="0D1882BC" w14:textId="77777777" w:rsidR="00333A5B" w:rsidRPr="00552145" w:rsidRDefault="00333A5B" w:rsidP="00333A5B">
      <w:pPr>
        <w:spacing w:after="120" w:line="360" w:lineRule="auto"/>
        <w:contextualSpacing/>
        <w:jc w:val="both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t>* Ըստ ԳՄԱ դասակարգման միջանցիկ ծածկագրի՝ տվյալ չափաբաժնի չափման միավորը նշված է հատ, սակայն պահանջվում է մատակարարել  1 լրակազմով։</w:t>
      </w:r>
    </w:p>
    <w:p w14:paraId="005C1BBA" w14:textId="77777777" w:rsidR="00333A5B" w:rsidRPr="00984581" w:rsidRDefault="00333A5B" w:rsidP="00333A5B">
      <w:pPr>
        <w:spacing w:after="120" w:line="360" w:lineRule="auto"/>
        <w:contextualSpacing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7D1BBA">
        <w:rPr>
          <w:rFonts w:ascii="GHEA Grapalat" w:hAnsi="GHEA Grapalat" w:cs="Arial"/>
          <w:iCs/>
          <w:color w:val="000000" w:themeColor="text1"/>
          <w:sz w:val="24"/>
          <w:szCs w:val="24"/>
          <w:lang w:val="pt-BR"/>
        </w:rPr>
        <w:t xml:space="preserve">1. </w:t>
      </w:r>
      <w:r w:rsidRPr="00984581">
        <w:rPr>
          <w:rFonts w:ascii="GHEA Grapalat" w:hAnsi="GHEA Grapalat" w:cs="Arial"/>
          <w:iCs/>
          <w:color w:val="000000" w:themeColor="text1"/>
        </w:rPr>
        <w:t xml:space="preserve">Տվյալ </w:t>
      </w:r>
      <w:r w:rsidRPr="00984581">
        <w:rPr>
          <w:rFonts w:ascii="GHEA Grapalat" w:hAnsi="GHEA Grapalat" w:cs="Arial"/>
          <w:iCs/>
          <w:color w:val="000000" w:themeColor="text1"/>
          <w:lang w:val="pt-BR"/>
        </w:rPr>
        <w:t>չափաբաժ</w:t>
      </w:r>
      <w:r w:rsidRPr="00984581">
        <w:rPr>
          <w:rFonts w:ascii="GHEA Grapalat" w:hAnsi="GHEA Grapalat" w:cs="Arial"/>
          <w:iCs/>
          <w:color w:val="000000" w:themeColor="text1"/>
        </w:rPr>
        <w:t>ի</w:t>
      </w:r>
      <w:r w:rsidRPr="00984581">
        <w:rPr>
          <w:rFonts w:ascii="GHEA Grapalat" w:hAnsi="GHEA Grapalat" w:cs="Arial"/>
          <w:iCs/>
          <w:color w:val="000000" w:themeColor="text1"/>
          <w:lang w:val="pt-BR"/>
        </w:rPr>
        <w:t>նների ապրանքների համարժեք տարբերակն ընդունելի է՝  համաձայն 2020թ. ապրիլի 2-ի թիվ 473-Ա որոշման 2-րդ կետի առաջին ենթակետի, որով մասնակիցը կարող է առաջարկել համարժեք այն ապրանքը, որը նախատեսված է նախագծով կամ անձնագրով</w:t>
      </w:r>
      <w:r>
        <w:rPr>
          <w:rFonts w:ascii="GHEA Grapalat" w:hAnsi="GHEA Grapalat" w:cs="Arial"/>
          <w:iCs/>
          <w:color w:val="000000" w:themeColor="text1"/>
          <w:lang w:val="pt-BR"/>
        </w:rPr>
        <w:t>,</w:t>
      </w:r>
      <w:r w:rsidRPr="00984581">
        <w:rPr>
          <w:rFonts w:ascii="GHEA Grapalat" w:hAnsi="GHEA Grapalat" w:cs="Arial"/>
          <w:iCs/>
          <w:color w:val="000000" w:themeColor="text1"/>
          <w:lang w:val="pt-BR"/>
        </w:rPr>
        <w:t xml:space="preserve"> կամ տեխնիկական պահանջով</w:t>
      </w:r>
      <w:r>
        <w:rPr>
          <w:rFonts w:ascii="GHEA Grapalat" w:hAnsi="GHEA Grapalat" w:cs="Arial"/>
          <w:iCs/>
          <w:color w:val="000000" w:themeColor="text1"/>
          <w:lang w:val="pt-BR"/>
        </w:rPr>
        <w:t>,</w:t>
      </w:r>
      <w:r w:rsidRPr="00984581">
        <w:rPr>
          <w:rFonts w:ascii="GHEA Grapalat" w:hAnsi="GHEA Grapalat" w:cs="Arial"/>
          <w:iCs/>
          <w:color w:val="000000" w:themeColor="text1"/>
          <w:lang w:val="pt-BR"/>
        </w:rPr>
        <w:t xml:space="preserve"> կամ համաձայնեցված է իրավասու մարմնի՝ նախագծի հեղինակի հետ:</w:t>
      </w:r>
    </w:p>
    <w:p w14:paraId="68A04F3D" w14:textId="2E7D78AA" w:rsidR="00333A5B" w:rsidRDefault="00333A5B" w:rsidP="00333A5B">
      <w:pPr>
        <w:spacing w:after="120" w:line="360" w:lineRule="auto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984581">
        <w:rPr>
          <w:rFonts w:ascii="GHEA Grapalat" w:hAnsi="GHEA Grapalat" w:cs="Arial"/>
          <w:iCs/>
          <w:color w:val="000000" w:themeColor="text1"/>
          <w:lang w:val="pt-BR"/>
        </w:rPr>
        <w:lastRenderedPageBreak/>
        <w:t>2.</w:t>
      </w:r>
      <w:r w:rsidRPr="00984581">
        <w:rPr>
          <w:rFonts w:ascii="GHEA Grapalat" w:hAnsi="GHEA Grapalat" w:cs="Arial"/>
          <w:iCs/>
          <w:color w:val="000000" w:themeColor="text1"/>
        </w:rPr>
        <w:t xml:space="preserve"> </w:t>
      </w:r>
      <w:r w:rsidRPr="009434FA">
        <w:rPr>
          <w:rFonts w:ascii="GHEA Grapalat" w:hAnsi="GHEA Grapalat" w:cs="Arial"/>
          <w:iCs/>
          <w:color w:val="000000" w:themeColor="text1"/>
          <w:lang w:val="pt-BR"/>
        </w:rPr>
        <w:t xml:space="preserve">Ապրանքները պետք է լինեն նոր, արտադրման տարեթիվը սկսած 2025թ., պետք է ունենան միջուկային էներգետիկայի համար արտադրատեսակների արտադրման հավաստագիր, որակի հավաստագիր կամ անձնագիր՝ արտադրատեսակների պատրաստման համար օգտագործված հիմնական նյութերի,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 </w:t>
      </w:r>
      <w:r w:rsidRPr="00315097">
        <w:rPr>
          <w:rFonts w:ascii="GHEA Grapalat" w:hAnsi="GHEA Grapalat" w:cs="Arial"/>
          <w:iCs/>
          <w:color w:val="000000" w:themeColor="text1"/>
          <w:lang w:val="pt-BR"/>
        </w:rPr>
        <w:t xml:space="preserve">Ապրանքները պետք է պատրաստվեն և ենթարկվեն համապատասխանության գնահատման՝ համաձայն </w:t>
      </w:r>
      <w:r w:rsidRPr="00315097">
        <w:rPr>
          <w:rFonts w:ascii="GHEA Grapalat" w:hAnsi="GHEA Grapalat" w:cs="Arial"/>
          <w:b/>
          <w:iCs/>
          <w:color w:val="000000" w:themeColor="text1"/>
          <w:lang w:val="pt-BR"/>
        </w:rPr>
        <w:t>НП-071-18</w:t>
      </w:r>
      <w:r w:rsidRPr="00315097">
        <w:rPr>
          <w:rFonts w:ascii="GHEA Grapalat" w:hAnsi="GHEA Grapalat" w:cs="Arial"/>
          <w:iCs/>
          <w:color w:val="000000" w:themeColor="text1"/>
          <w:lang w:val="pt-BR"/>
        </w:rPr>
        <w:t xml:space="preserve"> </w:t>
      </w:r>
      <w:r w:rsidRPr="00315097">
        <w:rPr>
          <w:rFonts w:ascii="GHEA Grapalat" w:hAnsi="GHEA Grapalat" w:cs="Arial"/>
          <w:b/>
          <w:iCs/>
          <w:color w:val="000000" w:themeColor="text1"/>
          <w:lang w:val="pt-BR"/>
        </w:rPr>
        <w:t>փաստաթղթի, անվտանգության 2-րդ դասին (ըստ НП-001-97-ի) համապատասխան</w:t>
      </w:r>
      <w:r w:rsidRPr="00315097">
        <w:rPr>
          <w:rFonts w:ascii="GHEA Grapalat" w:hAnsi="GHEA Grapalat" w:cs="Arial"/>
          <w:iCs/>
          <w:color w:val="000000" w:themeColor="text1"/>
          <w:lang w:val="pt-BR"/>
        </w:rPr>
        <w:t xml:space="preserve">՝  մասնագիտացված կազմակերպության ներգրավմամբ կամ ըստ արտադրող երկրում գործող ընդունման կարգի, </w:t>
      </w:r>
      <w:r w:rsidRPr="00CD36B0">
        <w:rPr>
          <w:rFonts w:ascii="GHEA Grapalat" w:hAnsi="GHEA Grapalat" w:cs="Arial"/>
          <w:b/>
          <w:iCs/>
          <w:color w:val="000000" w:themeColor="text1"/>
          <w:lang w:val="pt-BR"/>
        </w:rPr>
        <w:t>անվտանգության 2-րդ դասին (ըստ НП-001-97-ի) համապատասխան</w:t>
      </w:r>
      <w:r w:rsidRPr="00315097">
        <w:rPr>
          <w:rFonts w:ascii="GHEA Grapalat" w:hAnsi="GHEA Grapalat" w:cs="Arial"/>
          <w:iCs/>
          <w:color w:val="000000" w:themeColor="text1"/>
          <w:lang w:val="pt-BR"/>
        </w:rPr>
        <w:t>: Ապրանքների ընդունման կազմակերպումն ու անցկացումը մատակարարի պատասխանատվության ներքո է:</w:t>
      </w:r>
    </w:p>
    <w:p w14:paraId="1E8ACD54" w14:textId="430A574A" w:rsidR="00B43C1D" w:rsidRPr="00315097" w:rsidRDefault="00B43C1D" w:rsidP="00333A5B">
      <w:pPr>
        <w:spacing w:after="120" w:line="360" w:lineRule="auto"/>
        <w:jc w:val="both"/>
        <w:rPr>
          <w:rFonts w:ascii="GHEA Grapalat" w:hAnsi="GHEA Grapalat" w:cs="Arial"/>
          <w:iCs/>
          <w:color w:val="000000" w:themeColor="text1"/>
          <w:lang w:val="pt-BR"/>
        </w:rPr>
      </w:pPr>
      <w:r w:rsidRPr="00BA5023">
        <w:rPr>
          <w:rFonts w:ascii="GHEA Grapalat" w:hAnsi="GHEA Grapalat" w:cs="GHEA Grapalat"/>
          <w:b/>
          <w:color w:val="000000" w:themeColor="text1"/>
          <w:highlight w:val="yellow"/>
        </w:rPr>
        <w:t xml:space="preserve">Մատակարարը պետք է </w:t>
      </w:r>
      <w:r>
        <w:rPr>
          <w:rFonts w:ascii="GHEA Grapalat" w:hAnsi="GHEA Grapalat" w:cs="GHEA Grapalat"/>
          <w:b/>
          <w:color w:val="000000" w:themeColor="text1"/>
          <w:highlight w:val="yellow"/>
          <w:lang w:val="ru-RU"/>
        </w:rPr>
        <w:t>ունենա</w:t>
      </w:r>
      <w:r w:rsidRPr="00BA5023">
        <w:rPr>
          <w:rFonts w:ascii="GHEA Grapalat" w:hAnsi="GHEA Grapalat" w:cs="GHEA Grapalat"/>
          <w:b/>
          <w:color w:val="000000" w:themeColor="text1"/>
          <w:highlight w:val="yellow"/>
        </w:rPr>
        <w:t xml:space="preserve"> </w:t>
      </w:r>
      <w:r w:rsidRPr="00BA5023">
        <w:rPr>
          <w:rFonts w:ascii="GHEA Grapalat" w:hAnsi="GHEA Grapalat"/>
          <w:b/>
          <w:highlight w:val="yellow"/>
        </w:rPr>
        <w:t>ПГВ-4С տեսակի շոգեգեներատորների</w:t>
      </w:r>
      <w:r w:rsidRPr="00BA5023">
        <w:rPr>
          <w:rFonts w:ascii="GHEA Grapalat" w:eastAsia="Times New Roman" w:hAnsi="GHEA Grapalat" w:cs="Times New Roman"/>
          <w:b/>
          <w:bCs/>
          <w:highlight w:val="yellow"/>
          <w:lang w:eastAsia="ru-RU"/>
        </w:rPr>
        <w:t xml:space="preserve"> </w:t>
      </w:r>
      <w:r w:rsidRPr="00BA5023">
        <w:rPr>
          <w:rFonts w:ascii="GHEA Grapalat" w:hAnsi="GHEA Grapalat"/>
          <w:b/>
          <w:highlight w:val="yellow"/>
        </w:rPr>
        <w:t xml:space="preserve">պահեստամասերի </w:t>
      </w:r>
      <w:r w:rsidRPr="00BA5023">
        <w:rPr>
          <w:rFonts w:ascii="GHEA Grapalat" w:hAnsi="GHEA Grapalat" w:cs="GHEA Grapalat"/>
          <w:b/>
          <w:color w:val="000000" w:themeColor="text1"/>
          <w:highlight w:val="yellow"/>
        </w:rPr>
        <w:t>նախկինում 3 տարվա ընթացքում նմանատիպ ապրանքների (անվտանգության 2-րդ դասի համապատասխան) մատակարարման փորձ։</w:t>
      </w:r>
    </w:p>
    <w:p w14:paraId="280EA021" w14:textId="77777777" w:rsidR="00333A5B" w:rsidRPr="00984581" w:rsidRDefault="00333A5B" w:rsidP="00333A5B">
      <w:pPr>
        <w:spacing w:after="0" w:line="360" w:lineRule="auto"/>
        <w:jc w:val="both"/>
        <w:rPr>
          <w:rFonts w:ascii="GHEA Grapalat" w:hAnsi="GHEA Grapalat" w:cs="Sylfaen"/>
          <w:color w:val="000000" w:themeColor="text1"/>
          <w:lang w:val="pt-BR"/>
        </w:rPr>
      </w:pPr>
      <w:r w:rsidRPr="00984581">
        <w:rPr>
          <w:rFonts w:ascii="GHEA Grapalat" w:hAnsi="GHEA Grapalat" w:cs="Sylfaen"/>
          <w:color w:val="000000" w:themeColor="text1"/>
        </w:rPr>
        <w:t>3</w:t>
      </w:r>
      <w:r w:rsidRPr="00984581">
        <w:rPr>
          <w:rFonts w:ascii="GHEA Grapalat" w:hAnsi="GHEA Grapalat" w:cs="Sylfaen"/>
          <w:color w:val="000000" w:themeColor="text1"/>
          <w:lang w:val="pt-BR"/>
        </w:rPr>
        <w:t>.</w:t>
      </w:r>
      <w:r w:rsidRPr="00984581">
        <w:rPr>
          <w:rFonts w:ascii="GHEA Grapalat" w:hAnsi="GHEA Grapalat" w:cs="Sylfaen"/>
          <w:color w:val="000000" w:themeColor="text1"/>
        </w:rPr>
        <w:t>Վճարումը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կկատարվի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փաստացի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մատակարարված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ապրանքների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հանձնման</w:t>
      </w:r>
      <w:r w:rsidRPr="00984581">
        <w:rPr>
          <w:rFonts w:ascii="GHEA Grapalat" w:hAnsi="GHEA Grapalat" w:cs="Sylfaen"/>
          <w:color w:val="000000" w:themeColor="text1"/>
          <w:lang w:val="pt-BR"/>
        </w:rPr>
        <w:t>-</w:t>
      </w:r>
      <w:r w:rsidRPr="00984581">
        <w:rPr>
          <w:rFonts w:ascii="GHEA Grapalat" w:hAnsi="GHEA Grapalat" w:cs="Sylfaen"/>
          <w:color w:val="000000" w:themeColor="text1"/>
        </w:rPr>
        <w:t>ընդունման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արձանագրության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հիման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վրա</w:t>
      </w:r>
      <w:r w:rsidRPr="00984581">
        <w:rPr>
          <w:rFonts w:ascii="GHEA Grapalat" w:hAnsi="GHEA Grapalat" w:cs="Sylfaen"/>
          <w:color w:val="000000" w:themeColor="text1"/>
          <w:lang w:val="pt-BR"/>
        </w:rPr>
        <w:t>:</w:t>
      </w:r>
      <w:r w:rsidRPr="00984581">
        <w:rPr>
          <w:rFonts w:ascii="GHEA Grapalat" w:hAnsi="GHEA Grapalat" w:cs="Sylfaen"/>
          <w:color w:val="000000" w:themeColor="text1"/>
        </w:rPr>
        <w:t xml:space="preserve"> </w:t>
      </w:r>
    </w:p>
    <w:p w14:paraId="5421CA1C" w14:textId="77777777" w:rsidR="00333A5B" w:rsidRPr="00984581" w:rsidRDefault="00333A5B" w:rsidP="00333A5B">
      <w:pPr>
        <w:tabs>
          <w:tab w:val="left" w:pos="3030"/>
        </w:tabs>
        <w:spacing w:after="0" w:line="36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4.</w:t>
      </w:r>
      <w:r w:rsidRPr="00984581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Մասնակցին ստորագրված հանձնման-ընդունման արձանագրության տրամադրման ժամկետ</w:t>
      </w:r>
      <w:r>
        <w:rPr>
          <w:rFonts w:ascii="GHEA Grapalat" w:hAnsi="GHEA Grapalat" w:cstheme="minorHAnsi"/>
          <w:bCs/>
          <w:color w:val="000000" w:themeColor="text1"/>
        </w:rPr>
        <w:t xml:space="preserve">ը կազմում է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30 աշխատանքային օր;</w:t>
      </w:r>
    </w:p>
    <w:p w14:paraId="2F536FE3" w14:textId="77777777" w:rsidR="00333A5B" w:rsidRPr="00984581" w:rsidRDefault="00333A5B" w:rsidP="00333A5B">
      <w:pPr>
        <w:tabs>
          <w:tab w:val="left" w:pos="3030"/>
        </w:tabs>
        <w:spacing w:after="0" w:line="36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5.</w:t>
      </w:r>
      <w:r w:rsidRPr="00984581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Թույլատրելի խախտման ժամկետ</w:t>
      </w:r>
      <w:r>
        <w:rPr>
          <w:rFonts w:ascii="GHEA Grapalat" w:hAnsi="GHEA Grapalat" w:cstheme="minorHAnsi"/>
          <w:bCs/>
          <w:color w:val="000000" w:themeColor="text1"/>
          <w:lang w:val="pt-BR"/>
        </w:rPr>
        <w:t>ը կազմում է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10 օրացուցային օր</w:t>
      </w:r>
      <w:r w:rsidRPr="00984581">
        <w:rPr>
          <w:rFonts w:ascii="GHEA Grapalat" w:hAnsi="GHEA Grapalat" w:cstheme="minorHAnsi"/>
          <w:bCs/>
          <w:color w:val="000000" w:themeColor="text1"/>
        </w:rPr>
        <w:t>;</w:t>
      </w:r>
    </w:p>
    <w:p w14:paraId="2EF81788" w14:textId="42700036" w:rsidR="00333A5B" w:rsidRPr="00F36352" w:rsidRDefault="00333A5B" w:rsidP="00333A5B">
      <w:pPr>
        <w:tabs>
          <w:tab w:val="left" w:pos="3030"/>
        </w:tabs>
        <w:spacing w:after="0" w:line="36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</w:rPr>
        <w:t>6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Կատարողը պարտավոր է պահպանել ՀԱԷԿ-ում գործող ներօբ</w:t>
      </w:r>
      <w:r w:rsidR="00425B9E">
        <w:rPr>
          <w:rFonts w:ascii="GHEA Grapalat" w:hAnsi="GHEA Grapalat" w:cstheme="minorHAnsi"/>
          <w:bCs/>
          <w:color w:val="000000" w:themeColor="text1"/>
          <w:lang w:val="ru-RU"/>
        </w:rPr>
        <w:t>յ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եկտային և անցագրային ռեժիմի բոլոր պահանջները</w:t>
      </w:r>
      <w:r w:rsidRPr="00984581">
        <w:rPr>
          <w:rFonts w:ascii="GHEA Grapalat" w:hAnsi="GHEA Grapalat" w:cstheme="minorHAnsi"/>
          <w:bCs/>
          <w:color w:val="000000" w:themeColor="text1"/>
        </w:rPr>
        <w:t>;</w:t>
      </w:r>
    </w:p>
    <w:p w14:paraId="7EAB7B7E" w14:textId="77777777" w:rsidR="00333A5B" w:rsidRPr="00984581" w:rsidRDefault="00333A5B" w:rsidP="00333A5B">
      <w:pPr>
        <w:tabs>
          <w:tab w:val="left" w:pos="3030"/>
        </w:tabs>
        <w:spacing w:after="0" w:line="360" w:lineRule="auto"/>
        <w:jc w:val="both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</w:rPr>
        <w:t>7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Pr="00984581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984581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մինչև 15</w:t>
      </w:r>
      <w:r w:rsidRPr="00984581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 w:rsidRPr="00984581">
        <w:rPr>
          <w:rFonts w:ascii="GHEA Grapalat" w:hAnsi="GHEA Grapalat" w:cstheme="minorHAnsi"/>
          <w:bCs/>
          <w:color w:val="000000" w:themeColor="text1"/>
        </w:rPr>
        <w:t>;</w:t>
      </w:r>
    </w:p>
    <w:p w14:paraId="13AD8EBB" w14:textId="77777777" w:rsidR="00333A5B" w:rsidRPr="00984581" w:rsidRDefault="00333A5B" w:rsidP="00333A5B">
      <w:pPr>
        <w:spacing w:after="0" w:line="360" w:lineRule="auto"/>
        <w:jc w:val="both"/>
        <w:rPr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8.Պայմանագրի կառավարիչ</w:t>
      </w:r>
      <w:r w:rsidRPr="00984581">
        <w:rPr>
          <w:rFonts w:ascii="GHEA Grapalat" w:hAnsi="GHEA Grapalat" w:cstheme="minorHAnsi"/>
          <w:bCs/>
          <w:color w:val="000000" w:themeColor="text1"/>
        </w:rPr>
        <w:t>՝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en-US"/>
        </w:rPr>
        <w:t>Կ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. </w:t>
      </w:r>
      <w:r w:rsidRPr="00984581">
        <w:rPr>
          <w:rFonts w:ascii="GHEA Grapalat" w:hAnsi="GHEA Grapalat" w:cstheme="minorHAnsi"/>
          <w:bCs/>
          <w:color w:val="000000" w:themeColor="text1"/>
          <w:lang w:val="en-US"/>
        </w:rPr>
        <w:t>Հ</w:t>
      </w:r>
      <w:r w:rsidRPr="00984581">
        <w:rPr>
          <w:rFonts w:ascii="GHEA Grapalat" w:hAnsi="GHEA Grapalat" w:cstheme="minorHAnsi"/>
          <w:bCs/>
          <w:color w:val="000000" w:themeColor="text1"/>
        </w:rPr>
        <w:t>ամբարձում</w:t>
      </w:r>
      <w:r w:rsidRPr="00984581">
        <w:rPr>
          <w:rFonts w:ascii="GHEA Grapalat" w:hAnsi="GHEA Grapalat" w:cstheme="minorHAnsi"/>
          <w:bCs/>
          <w:color w:val="000000" w:themeColor="text1"/>
          <w:lang w:val="en-US"/>
        </w:rPr>
        <w:t>յան</w:t>
      </w:r>
      <w:r w:rsidRPr="00984581">
        <w:rPr>
          <w:rFonts w:ascii="GHEA Grapalat" w:hAnsi="GHEA Grapalat" w:cstheme="minorHAnsi"/>
          <w:bCs/>
          <w:color w:val="000000" w:themeColor="text1"/>
        </w:rPr>
        <w:t>,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 հեռ.</w:t>
      </w:r>
      <w:r w:rsidRPr="00984581">
        <w:rPr>
          <w:rFonts w:ascii="GHEA Grapalat" w:hAnsi="GHEA Grapalat" w:cstheme="minorHAnsi"/>
          <w:bCs/>
          <w:color w:val="000000" w:themeColor="text1"/>
        </w:rPr>
        <w:t>՝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010-28-00-35, </w:t>
      </w:r>
      <w:r w:rsidRPr="00984581">
        <w:rPr>
          <w:rFonts w:ascii="GHEA Grapalat" w:hAnsi="GHEA Grapalat" w:cstheme="minorHAnsi"/>
          <w:bCs/>
          <w:color w:val="000000" w:themeColor="text1"/>
        </w:rPr>
        <w:t>e-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mail</w:t>
      </w:r>
      <w:r w:rsidRPr="00984581">
        <w:rPr>
          <w:rFonts w:ascii="GHEA Grapalat" w:hAnsi="GHEA Grapalat" w:cstheme="minorHAnsi"/>
          <w:bCs/>
          <w:color w:val="000000" w:themeColor="text1"/>
        </w:rPr>
        <w:t>։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hyperlink r:id="rId4" w:history="1">
        <w:r w:rsidRPr="00984581">
          <w:rPr>
            <w:rStyle w:val="a4"/>
            <w:rFonts w:ascii="GHEA Grapalat" w:hAnsi="GHEA Grapalat" w:cstheme="minorHAnsi"/>
            <w:lang w:val="pt-BR"/>
          </w:rPr>
          <w:t>karine.hambardzumyan@anpp.am</w:t>
        </w:r>
      </w:hyperlink>
      <w:r w:rsidRPr="00984581">
        <w:rPr>
          <w:rStyle w:val="a4"/>
          <w:rFonts w:ascii="GHEA Grapalat" w:hAnsi="GHEA Grapalat" w:cstheme="minorHAnsi"/>
          <w:color w:val="000000" w:themeColor="text1"/>
          <w:lang w:val="pt-BR"/>
        </w:rPr>
        <w:t>.</w:t>
      </w:r>
      <w:r w:rsidRPr="00984581">
        <w:rPr>
          <w:color w:val="000000" w:themeColor="text1"/>
          <w:lang w:val="pt-BR"/>
        </w:rPr>
        <w:t xml:space="preserve">  </w:t>
      </w:r>
    </w:p>
    <w:p w14:paraId="04495C73" w14:textId="77777777" w:rsidR="00333A5B" w:rsidRPr="00552145" w:rsidRDefault="00333A5B" w:rsidP="00333A5B">
      <w:pPr>
        <w:spacing w:after="0" w:line="360" w:lineRule="auto"/>
        <w:jc w:val="both"/>
        <w:rPr>
          <w:color w:val="000000" w:themeColor="text1"/>
          <w:sz w:val="8"/>
          <w:szCs w:val="8"/>
          <w:lang w:val="pt-BR"/>
        </w:rPr>
      </w:pPr>
      <w:r w:rsidRPr="00984581">
        <w:rPr>
          <w:color w:val="000000" w:themeColor="text1"/>
          <w:lang w:val="pt-BR"/>
        </w:rPr>
        <w:t xml:space="preserve"> </w:t>
      </w:r>
    </w:p>
    <w:p w14:paraId="0D6C6A51" w14:textId="77777777" w:rsidR="00333A5B" w:rsidRDefault="00333A5B" w:rsidP="00333A5B">
      <w:pPr>
        <w:spacing w:after="0" w:line="360" w:lineRule="auto"/>
        <w:jc w:val="both"/>
        <w:rPr>
          <w:rFonts w:ascii="GHEA Grapalat" w:hAnsi="GHEA Grapalat"/>
          <w:b/>
          <w:bCs/>
          <w:color w:val="000000" w:themeColor="text1"/>
        </w:rPr>
      </w:pPr>
      <w:r>
        <w:rPr>
          <w:rFonts w:ascii="GHEA Grapalat" w:hAnsi="GHEA Grapalat"/>
          <w:b/>
          <w:bCs/>
          <w:color w:val="000000" w:themeColor="text1"/>
        </w:rPr>
        <w:t>Дополнительные условия</w:t>
      </w:r>
      <w:r w:rsidRPr="00984581">
        <w:rPr>
          <w:rFonts w:ascii="GHEA Grapalat" w:hAnsi="GHEA Grapalat"/>
          <w:b/>
          <w:bCs/>
          <w:color w:val="000000" w:themeColor="text1"/>
        </w:rPr>
        <w:t>:</w:t>
      </w:r>
    </w:p>
    <w:p w14:paraId="1337644B" w14:textId="77777777" w:rsidR="00333A5B" w:rsidRPr="00552145" w:rsidRDefault="00333A5B" w:rsidP="00333A5B">
      <w:pPr>
        <w:spacing w:after="0" w:line="360" w:lineRule="auto"/>
        <w:jc w:val="both"/>
        <w:rPr>
          <w:rFonts w:ascii="GHEA Grapalat" w:hAnsi="GHEA Grapalat"/>
          <w:b/>
          <w:bCs/>
          <w:color w:val="000000" w:themeColor="text1"/>
          <w:sz w:val="12"/>
          <w:szCs w:val="12"/>
        </w:rPr>
      </w:pPr>
    </w:p>
    <w:p w14:paraId="4F0F53EF" w14:textId="77777777" w:rsidR="00333A5B" w:rsidRPr="00D870FE" w:rsidRDefault="00333A5B" w:rsidP="00333A5B">
      <w:p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>
        <w:rPr>
          <w:rFonts w:ascii="GHEA Grapalat" w:hAnsi="GHEA Grapalat"/>
          <w:bCs/>
          <w:color w:val="000000" w:themeColor="text1"/>
        </w:rPr>
        <w:t>1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>
        <w:rPr>
          <w:rFonts w:ascii="GHEA Grapalat" w:hAnsi="GHEA Grapalat"/>
          <w:bCs/>
          <w:color w:val="000000" w:themeColor="text1"/>
        </w:rPr>
        <w:t xml:space="preserve"> </w:t>
      </w:r>
      <w:r w:rsidRPr="005877E1">
        <w:rPr>
          <w:rFonts w:ascii="GHEA Grapalat" w:hAnsi="GHEA Grapalat"/>
          <w:bCs/>
          <w:color w:val="000000" w:themeColor="text1"/>
          <w:lang w:val="pt-BR"/>
        </w:rPr>
        <w:t xml:space="preserve">Допускается эквивалентный вариант </w:t>
      </w:r>
      <w:r w:rsidRPr="00D870FE">
        <w:rPr>
          <w:rFonts w:ascii="GHEA Grapalat" w:hAnsi="GHEA Grapalat"/>
          <w:bCs/>
          <w:color w:val="000000" w:themeColor="text1"/>
          <w:lang w:val="pt-BR"/>
        </w:rPr>
        <w:t xml:space="preserve">товаров данных лотов </w:t>
      </w:r>
      <w:r w:rsidRPr="005877E1">
        <w:rPr>
          <w:rFonts w:ascii="GHEA Grapalat" w:hAnsi="GHEA Grapalat"/>
          <w:bCs/>
          <w:color w:val="000000" w:themeColor="text1"/>
          <w:lang w:val="pt-BR"/>
        </w:rPr>
        <w:t xml:space="preserve">согласно </w:t>
      </w:r>
      <w:r w:rsidRPr="00D870FE">
        <w:rPr>
          <w:rFonts w:ascii="GHEA Grapalat" w:hAnsi="GHEA Grapalat"/>
          <w:bCs/>
          <w:color w:val="000000" w:themeColor="text1"/>
          <w:lang w:val="pt-BR"/>
        </w:rPr>
        <w:t xml:space="preserve">решению </w:t>
      </w:r>
      <w:r w:rsidRPr="005877E1">
        <w:rPr>
          <w:rFonts w:ascii="GHEA Grapalat" w:hAnsi="GHEA Grapalat"/>
          <w:bCs/>
          <w:color w:val="000000" w:themeColor="text1"/>
          <w:lang w:val="pt-BR"/>
        </w:rPr>
        <w:t>№ 473-А от 2 апреля  2020 год</w:t>
      </w:r>
      <w:r w:rsidRPr="00D870FE">
        <w:rPr>
          <w:rFonts w:ascii="GHEA Grapalat" w:hAnsi="GHEA Grapalat"/>
          <w:bCs/>
          <w:color w:val="000000" w:themeColor="text1"/>
          <w:lang w:val="pt-BR"/>
        </w:rPr>
        <w:t>а</w:t>
      </w:r>
      <w:r w:rsidRPr="005877E1">
        <w:rPr>
          <w:rFonts w:ascii="GHEA Grapalat" w:hAnsi="GHEA Grapalat"/>
          <w:bCs/>
          <w:color w:val="000000" w:themeColor="text1"/>
          <w:lang w:val="pt-BR"/>
        </w:rPr>
        <w:t xml:space="preserve">  </w:t>
      </w:r>
      <w:r w:rsidRPr="00D870FE">
        <w:rPr>
          <w:rFonts w:ascii="GHEA Grapalat" w:hAnsi="GHEA Grapalat"/>
          <w:bCs/>
          <w:color w:val="000000" w:themeColor="text1"/>
          <w:lang w:val="pt-BR"/>
        </w:rPr>
        <w:t xml:space="preserve">по первому </w:t>
      </w:r>
      <w:r w:rsidRPr="005877E1">
        <w:rPr>
          <w:rFonts w:ascii="GHEA Grapalat" w:hAnsi="GHEA Grapalat"/>
          <w:bCs/>
          <w:color w:val="000000" w:themeColor="text1"/>
          <w:lang w:val="pt-BR"/>
        </w:rPr>
        <w:t xml:space="preserve">подпункту 2 </w:t>
      </w:r>
      <w:r w:rsidRPr="00D870FE">
        <w:rPr>
          <w:rFonts w:ascii="GHEA Grapalat" w:hAnsi="GHEA Grapalat"/>
          <w:bCs/>
          <w:color w:val="000000" w:themeColor="text1"/>
          <w:lang w:val="pt-BR"/>
        </w:rPr>
        <w:t>пункта,</w:t>
      </w:r>
      <w:r w:rsidRPr="005877E1">
        <w:rPr>
          <w:rFonts w:ascii="GHEA Grapalat" w:hAnsi="GHEA Grapalat"/>
          <w:bCs/>
          <w:color w:val="000000" w:themeColor="text1"/>
          <w:lang w:val="pt-BR"/>
        </w:rPr>
        <w:t xml:space="preserve"> участник </w:t>
      </w:r>
      <w:r w:rsidRPr="00D870FE">
        <w:rPr>
          <w:rFonts w:ascii="GHEA Grapalat" w:hAnsi="GHEA Grapalat"/>
          <w:bCs/>
          <w:color w:val="000000" w:themeColor="text1"/>
          <w:lang w:val="pt-BR"/>
        </w:rPr>
        <w:t xml:space="preserve">    </w:t>
      </w:r>
      <w:r w:rsidRPr="005877E1">
        <w:rPr>
          <w:rFonts w:ascii="GHEA Grapalat" w:hAnsi="GHEA Grapalat"/>
          <w:bCs/>
          <w:color w:val="000000" w:themeColor="text1"/>
          <w:lang w:val="pt-BR"/>
        </w:rPr>
        <w:t xml:space="preserve">может предложить эквивалентный продукт, </w:t>
      </w:r>
      <w:r w:rsidRPr="00D870FE">
        <w:rPr>
          <w:rFonts w:ascii="GHEA Grapalat" w:hAnsi="GHEA Grapalat"/>
          <w:bCs/>
          <w:color w:val="000000" w:themeColor="text1"/>
          <w:lang w:val="pt-BR"/>
        </w:rPr>
        <w:t xml:space="preserve">который </w:t>
      </w:r>
      <w:r w:rsidRPr="005877E1">
        <w:rPr>
          <w:rFonts w:ascii="GHEA Grapalat" w:hAnsi="GHEA Grapalat"/>
          <w:bCs/>
          <w:color w:val="000000" w:themeColor="text1"/>
          <w:lang w:val="pt-BR"/>
        </w:rPr>
        <w:t>предназначен проектом или паспортом или техническим заданием или согласовано с уполномоченным органом, автором проекта.</w:t>
      </w:r>
    </w:p>
    <w:p w14:paraId="1A13C4A1" w14:textId="332760F1" w:rsidR="00333A5B" w:rsidRDefault="00333A5B" w:rsidP="00333A5B">
      <w:p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lastRenderedPageBreak/>
        <w:t xml:space="preserve">2. </w:t>
      </w:r>
      <w:r w:rsidRPr="003E140D">
        <w:rPr>
          <w:rFonts w:ascii="GHEA Grapalat" w:hAnsi="GHEA Grapalat"/>
          <w:bCs/>
          <w:color w:val="000000" w:themeColor="text1"/>
          <w:lang w:val="pt-BR"/>
        </w:rPr>
        <w:t>Товары должны быть новыми. Даты выпуска начиная с 2025г., должны иметь сертификат для производства изделий ядерной энергетики. Товары должны иметь сертификат качества или паспорт применяемых основных материалов для изготовления изделий, с отметкой результатов испытаний, гарантийных обязательств и сроков, упаковка должна обеспечить м</w:t>
      </w:r>
      <w:r>
        <w:rPr>
          <w:rFonts w:ascii="GHEA Grapalat" w:hAnsi="GHEA Grapalat"/>
          <w:bCs/>
          <w:color w:val="000000" w:themeColor="text1"/>
          <w:lang w:val="pt-BR"/>
        </w:rPr>
        <w:t>еханическую целостность товара,</w:t>
      </w:r>
      <w:r w:rsidRPr="003E140D">
        <w:rPr>
          <w:rFonts w:ascii="GHEA Grapalat" w:hAnsi="GHEA Grapalat"/>
          <w:bCs/>
          <w:color w:val="000000" w:themeColor="text1"/>
          <w:lang w:val="pt-BR"/>
        </w:rPr>
        <w:t xml:space="preserve"> документы должны быть переведены на армянский или русский   языки. Товары должны изготавливаться и проходить оценку соответствия </w:t>
      </w:r>
      <w:r w:rsidRPr="00CA5857">
        <w:rPr>
          <w:rFonts w:ascii="GHEA Grapalat" w:hAnsi="GHEA Grapalat"/>
          <w:b/>
          <w:bCs/>
          <w:color w:val="000000" w:themeColor="text1"/>
          <w:lang w:val="pt-BR"/>
        </w:rPr>
        <w:t>по НП-071-18, согласно их классу безопасности-2,</w:t>
      </w:r>
      <w:r w:rsidRPr="003E140D">
        <w:rPr>
          <w:rFonts w:ascii="GHEA Grapalat" w:hAnsi="GHEA Grapalat"/>
          <w:bCs/>
          <w:color w:val="000000" w:themeColor="text1"/>
          <w:lang w:val="pt-BR"/>
        </w:rPr>
        <w:t xml:space="preserve"> с привлечением специализированной организации, или по действующим правилам приемки,  страны производителя, </w:t>
      </w:r>
      <w:r w:rsidRPr="00CA5857">
        <w:rPr>
          <w:rFonts w:ascii="GHEA Grapalat" w:hAnsi="GHEA Grapalat"/>
          <w:b/>
          <w:bCs/>
          <w:color w:val="000000" w:themeColor="text1"/>
          <w:lang w:val="pt-BR"/>
        </w:rPr>
        <w:t>соответствующего классу  безопасности-2, по НП-001-97</w:t>
      </w:r>
      <w:r w:rsidRPr="003E140D">
        <w:rPr>
          <w:rFonts w:ascii="GHEA Grapalat" w:hAnsi="GHEA Grapalat"/>
          <w:bCs/>
          <w:color w:val="000000" w:themeColor="text1"/>
          <w:lang w:val="pt-BR"/>
        </w:rPr>
        <w:t xml:space="preserve">. </w:t>
      </w:r>
      <w:r w:rsidRPr="00BC557F">
        <w:rPr>
          <w:rFonts w:ascii="GHEA Grapalat" w:hAnsi="GHEA Grapalat"/>
          <w:bCs/>
          <w:color w:val="000000" w:themeColor="text1"/>
          <w:lang w:val="pt-BR"/>
        </w:rPr>
        <w:t>Организация и проведение приемки товаров является частью ответственности поставщика.</w:t>
      </w:r>
    </w:p>
    <w:p w14:paraId="1A126341" w14:textId="40BE8FC7" w:rsidR="00885708" w:rsidRPr="00BF40E0" w:rsidRDefault="00885708" w:rsidP="00885708">
      <w:pPr>
        <w:spacing w:after="0" w:line="360" w:lineRule="auto"/>
        <w:jc w:val="both"/>
        <w:rPr>
          <w:rFonts w:ascii="GHEA Grapalat" w:hAnsi="GHEA Grapalat"/>
          <w:b/>
          <w:color w:val="000000" w:themeColor="text1"/>
        </w:rPr>
      </w:pPr>
      <w:r w:rsidRPr="00BA5023">
        <w:rPr>
          <w:rFonts w:ascii="Calibri" w:hAnsi="Calibri" w:cs="Calibri"/>
          <w:color w:val="000000" w:themeColor="text1"/>
          <w:highlight w:val="yellow"/>
        </w:rPr>
        <w:t>*</w:t>
      </w:r>
      <w:r w:rsidRPr="00BA5023">
        <w:rPr>
          <w:rFonts w:ascii="GHEA Grapalat" w:hAnsi="GHEA Grapalat" w:cs="GHEA Grapalat"/>
          <w:color w:val="000000" w:themeColor="text1"/>
          <w:highlight w:val="yellow"/>
        </w:rPr>
        <w:t xml:space="preserve"> </w:t>
      </w:r>
      <w:r w:rsidRPr="00BA5023">
        <w:rPr>
          <w:rFonts w:ascii="GHEA Grapalat" w:hAnsi="GHEA Grapalat"/>
          <w:b/>
          <w:color w:val="000000" w:themeColor="text1"/>
          <w:highlight w:val="yellow"/>
        </w:rPr>
        <w:t xml:space="preserve">Поставщик должен </w:t>
      </w:r>
      <w:r>
        <w:rPr>
          <w:rFonts w:ascii="GHEA Grapalat" w:hAnsi="GHEA Grapalat"/>
          <w:b/>
          <w:color w:val="000000" w:themeColor="text1"/>
          <w:highlight w:val="yellow"/>
          <w:lang w:val="ru-RU"/>
        </w:rPr>
        <w:t>иметь</w:t>
      </w:r>
      <w:r w:rsidRPr="00BA5023">
        <w:rPr>
          <w:rFonts w:ascii="GHEA Grapalat" w:hAnsi="GHEA Grapalat"/>
          <w:b/>
          <w:color w:val="000000" w:themeColor="text1"/>
          <w:highlight w:val="yellow"/>
          <w:lang w:val="ru-RU"/>
        </w:rPr>
        <w:t xml:space="preserve"> </w:t>
      </w:r>
      <w:r w:rsidRPr="00BA5023">
        <w:rPr>
          <w:rFonts w:ascii="GHEA Grapalat" w:hAnsi="GHEA Grapalat"/>
          <w:b/>
          <w:color w:val="000000" w:themeColor="text1"/>
          <w:highlight w:val="yellow"/>
        </w:rPr>
        <w:t xml:space="preserve">опыт  поставки аналогичных товаров на приобретение ЗИП </w:t>
      </w:r>
      <w:r w:rsidRPr="00BA5023">
        <w:rPr>
          <w:rFonts w:ascii="GHEA Grapalat" w:hAnsi="GHEA Grapalat"/>
          <w:b/>
          <w:color w:val="000000" w:themeColor="text1"/>
          <w:highlight w:val="yellow"/>
          <w:lang w:val="ru-RU"/>
        </w:rPr>
        <w:t>к паро</w:t>
      </w:r>
      <w:r w:rsidRPr="00BA5023">
        <w:rPr>
          <w:rFonts w:ascii="GHEA Grapalat" w:hAnsi="GHEA Grapalat"/>
          <w:b/>
          <w:color w:val="000000" w:themeColor="text1"/>
          <w:highlight w:val="yellow"/>
        </w:rPr>
        <w:t>генератору типа ПГВ-4С (согласно 2-ому классу  безопасности) в течение последних трех лет.</w:t>
      </w:r>
      <w:r w:rsidRPr="00BF40E0">
        <w:rPr>
          <w:rFonts w:ascii="GHEA Grapalat" w:hAnsi="GHEA Grapalat"/>
          <w:b/>
          <w:color w:val="000000" w:themeColor="text1"/>
        </w:rPr>
        <w:t xml:space="preserve"> </w:t>
      </w:r>
    </w:p>
    <w:p w14:paraId="08BEC82F" w14:textId="77777777" w:rsidR="00885708" w:rsidRPr="00885708" w:rsidRDefault="00885708" w:rsidP="00333A5B">
      <w:pPr>
        <w:spacing w:after="0" w:line="360" w:lineRule="auto"/>
        <w:jc w:val="both"/>
        <w:rPr>
          <w:rFonts w:ascii="GHEA Grapalat" w:hAnsi="GHEA Grapalat"/>
          <w:bCs/>
          <w:color w:val="000000" w:themeColor="text1"/>
        </w:rPr>
      </w:pPr>
    </w:p>
    <w:p w14:paraId="3D28B460" w14:textId="77777777" w:rsidR="00333A5B" w:rsidRPr="00984581" w:rsidRDefault="00333A5B" w:rsidP="00333A5B">
      <w:pPr>
        <w:spacing w:after="0" w:line="360" w:lineRule="auto"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3.</w:t>
      </w:r>
      <w:r w:rsidRPr="00984581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14:paraId="5D9CA0A3" w14:textId="77777777" w:rsidR="00333A5B" w:rsidRPr="00984581" w:rsidRDefault="00333A5B" w:rsidP="00333A5B">
      <w:pPr>
        <w:spacing w:after="0" w:line="360" w:lineRule="auto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4.</w:t>
      </w:r>
      <w:r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Срок предоставления участнику подписан</w:t>
      </w:r>
      <w:r>
        <w:rPr>
          <w:rFonts w:ascii="GHEA Grapalat" w:hAnsi="GHEA Grapalat"/>
          <w:bCs/>
          <w:color w:val="000000" w:themeColor="text1"/>
          <w:lang w:val="pt-BR"/>
        </w:rPr>
        <w:t xml:space="preserve">ного протокола приема-передачи составляет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30 рабочих дней;</w:t>
      </w:r>
    </w:p>
    <w:p w14:paraId="5CCB7E48" w14:textId="77777777" w:rsidR="00333A5B" w:rsidRPr="00984581" w:rsidRDefault="00333A5B" w:rsidP="00333A5B">
      <w:pPr>
        <w:spacing w:after="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5.</w:t>
      </w:r>
      <w:r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</w:rPr>
        <w:t>Допустимый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Pr="00984581">
        <w:rPr>
          <w:rFonts w:ascii="GHEA Grapalat" w:hAnsi="GHEA Grapalat"/>
          <w:bCs/>
          <w:color w:val="000000" w:themeColor="text1"/>
        </w:rPr>
        <w:t>нарушения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>
        <w:rPr>
          <w:rFonts w:ascii="GHEA Grapalat" w:hAnsi="GHEA Grapalat"/>
          <w:bCs/>
          <w:color w:val="000000" w:themeColor="text1"/>
          <w:lang w:val="pt-BR"/>
        </w:rPr>
        <w:t>составляет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10 календарных дней;</w:t>
      </w:r>
    </w:p>
    <w:p w14:paraId="05B86DAC" w14:textId="77777777" w:rsidR="00333A5B" w:rsidRDefault="00333A5B" w:rsidP="00333A5B">
      <w:pPr>
        <w:spacing w:after="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</w:rPr>
        <w:t>6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Исполнитель об</w:t>
      </w:r>
      <w:r w:rsidRPr="00984581">
        <w:rPr>
          <w:rFonts w:ascii="GHEA Grapalat" w:hAnsi="GHEA Grapalat"/>
          <w:bCs/>
          <w:color w:val="000000" w:themeColor="text1"/>
          <w:lang w:val="ru-RU"/>
        </w:rPr>
        <w:t>ъ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язан соблюдать все требования внутриоб</w:t>
      </w:r>
      <w:r w:rsidRPr="00984581">
        <w:rPr>
          <w:rFonts w:ascii="GHEA Grapalat" w:hAnsi="GHEA Grapalat"/>
          <w:bCs/>
          <w:color w:val="000000" w:themeColor="text1"/>
          <w:lang w:val="ru-RU"/>
        </w:rPr>
        <w:t>ъ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</w:t>
      </w:r>
      <w:r w:rsidRPr="00984581">
        <w:rPr>
          <w:rFonts w:ascii="GHEA Grapalat" w:hAnsi="GHEA Grapalat"/>
          <w:bCs/>
          <w:color w:val="000000" w:themeColor="text1"/>
          <w:lang w:val="ru-RU"/>
        </w:rPr>
        <w:t>х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на ААЭС;</w:t>
      </w:r>
    </w:p>
    <w:p w14:paraId="0F5406FA" w14:textId="77777777" w:rsidR="00333A5B" w:rsidRPr="00984581" w:rsidRDefault="00333A5B" w:rsidP="00333A5B">
      <w:pPr>
        <w:spacing w:after="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</w:rPr>
        <w:t>7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Поставщик должен уведомить менеджера по контракту о поставке</w:t>
      </w:r>
      <w:r w:rsidRPr="00984581">
        <w:rPr>
          <w:rFonts w:ascii="GHEA Grapalat" w:hAnsi="GHEA Grapalat"/>
          <w:bCs/>
          <w:color w:val="000000" w:themeColor="text1"/>
          <w:lang w:val="ru-RU"/>
        </w:rPr>
        <w:t>,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как минимум за один рабочий день до поставки товара, поставка может быть осуществлена в течении</w:t>
      </w:r>
      <w:r w:rsidRPr="00984581">
        <w:rPr>
          <w:rFonts w:ascii="GHEA Grapalat" w:hAnsi="GHEA Grapalat"/>
          <w:bCs/>
          <w:color w:val="000000" w:themeColor="text1"/>
        </w:rPr>
        <w:t xml:space="preserve">  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рабочего дня с 9</w:t>
      </w:r>
      <w:r w:rsidRPr="00984581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00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 w:rsidRPr="00984581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30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часов;</w:t>
      </w:r>
    </w:p>
    <w:p w14:paraId="259C4DBC" w14:textId="77777777" w:rsidR="00333A5B" w:rsidRPr="00984581" w:rsidRDefault="00333A5B" w:rsidP="00333A5B">
      <w:pPr>
        <w:spacing w:after="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8.</w:t>
      </w:r>
      <w:r w:rsidRPr="00984581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 w:rsidRPr="00984581">
        <w:rPr>
          <w:rFonts w:ascii="GHEA Grapalat" w:hAnsi="GHEA Grapalat"/>
          <w:bCs/>
          <w:color w:val="000000" w:themeColor="text1"/>
        </w:rPr>
        <w:t>К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 w:rsidRPr="00984581">
        <w:rPr>
          <w:rFonts w:ascii="GHEA Grapalat" w:hAnsi="GHEA Grapalat"/>
          <w:bCs/>
          <w:color w:val="000000" w:themeColor="text1"/>
          <w:lang w:val="ru-RU"/>
        </w:rPr>
        <w:t xml:space="preserve"> Амбарцум</w:t>
      </w:r>
      <w:r w:rsidRPr="00984581">
        <w:rPr>
          <w:rFonts w:ascii="GHEA Grapalat" w:hAnsi="GHEA Grapalat"/>
          <w:bCs/>
          <w:color w:val="000000" w:themeColor="text1"/>
        </w:rPr>
        <w:t>ян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.Тел. 010-28-00-35, e</w:t>
      </w:r>
      <w:r w:rsidRPr="00984581">
        <w:rPr>
          <w:rFonts w:ascii="GHEA Grapalat" w:hAnsi="GHEA Grapalat"/>
          <w:bCs/>
          <w:color w:val="000000" w:themeColor="text1"/>
        </w:rPr>
        <w:t>-</w:t>
      </w:r>
      <w:r w:rsidRPr="00984581">
        <w:rPr>
          <w:rFonts w:ascii="GHEA Grapalat" w:hAnsi="GHEA Grapalat"/>
          <w:bCs/>
          <w:color w:val="000000" w:themeColor="text1"/>
          <w:lang w:val="pt-BR"/>
        </w:rPr>
        <w:t>mail</w:t>
      </w:r>
      <w:r w:rsidRPr="00984581">
        <w:rPr>
          <w:rFonts w:ascii="GHEA Grapalat" w:hAnsi="GHEA Grapalat"/>
          <w:bCs/>
          <w:color w:val="000000" w:themeColor="text1"/>
        </w:rPr>
        <w:t>։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hyperlink r:id="rId5" w:history="1">
        <w:r w:rsidRPr="00984581">
          <w:rPr>
            <w:rStyle w:val="a4"/>
            <w:rFonts w:ascii="GHEA Grapalat" w:hAnsi="GHEA Grapalat" w:cstheme="minorHAnsi"/>
            <w:lang w:val="pt-BR"/>
          </w:rPr>
          <w:t>karine.hambardzumyan@anpp.am</w:t>
        </w:r>
      </w:hyperlink>
      <w:r w:rsidRPr="00984581">
        <w:rPr>
          <w:rStyle w:val="a4"/>
          <w:rFonts w:ascii="GHEA Grapalat" w:hAnsi="GHEA Grapalat" w:cstheme="minorHAnsi"/>
          <w:color w:val="000000" w:themeColor="text1"/>
          <w:lang w:val="pt-BR"/>
        </w:rPr>
        <w:t>.</w:t>
      </w:r>
    </w:p>
    <w:p w14:paraId="785EDF83" w14:textId="77777777" w:rsidR="00333A5B" w:rsidRDefault="00333A5B" w:rsidP="00333A5B">
      <w:pPr>
        <w:spacing w:after="0" w:line="240" w:lineRule="auto"/>
        <w:ind w:firstLine="270"/>
        <w:jc w:val="both"/>
        <w:rPr>
          <w:rFonts w:ascii="GHEA Grapalat" w:hAnsi="GHEA Grapalat" w:cs="Sylfaen"/>
          <w:b/>
          <w:color w:val="000000" w:themeColor="text1"/>
        </w:rPr>
      </w:pPr>
    </w:p>
    <w:p w14:paraId="597C3A46" w14:textId="77777777" w:rsidR="000D590E" w:rsidRDefault="000D590E"/>
    <w:sectPr w:rsidR="000D590E" w:rsidSect="00333A5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1F"/>
    <w:rsid w:val="000D590E"/>
    <w:rsid w:val="00243C7D"/>
    <w:rsid w:val="00333A5B"/>
    <w:rsid w:val="00425B9E"/>
    <w:rsid w:val="0083197B"/>
    <w:rsid w:val="00885708"/>
    <w:rsid w:val="00B43C1D"/>
    <w:rsid w:val="00C60920"/>
    <w:rsid w:val="00D4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842E"/>
  <w15:chartTrackingRefBased/>
  <w15:docId w15:val="{92918586-1CFD-46CF-85F9-E1B15D52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A5B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A5B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33A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ine.hambardzumyan@anpp.am" TargetMode="External"/><Relationship Id="rId4" Type="http://schemas.openxmlformats.org/officeDocument/2006/relationships/hyperlink" Target="mailto:karine.hambardzum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6</cp:revision>
  <dcterms:created xsi:type="dcterms:W3CDTF">2026-02-11T05:06:00Z</dcterms:created>
  <dcterms:modified xsi:type="dcterms:W3CDTF">2026-02-11T11:14:00Z</dcterms:modified>
</cp:coreProperties>
</file>