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75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1276"/>
        <w:gridCol w:w="4484"/>
        <w:gridCol w:w="810"/>
        <w:gridCol w:w="810"/>
        <w:gridCol w:w="1440"/>
        <w:gridCol w:w="1890"/>
      </w:tblGrid>
      <w:tr w:rsidR="00FB39F3" w:rsidRPr="00E41667" w:rsidTr="00FB39F3">
        <w:trPr>
          <w:trHeight w:val="268"/>
        </w:trPr>
        <w:tc>
          <w:tcPr>
            <w:tcW w:w="11754" w:type="dxa"/>
            <w:gridSpan w:val="7"/>
          </w:tcPr>
          <w:p w:rsidR="00FB39F3" w:rsidRPr="00E41667" w:rsidRDefault="00FB39F3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A82ABF" w:rsidRPr="00E41667" w:rsidTr="00A82ABF">
        <w:trPr>
          <w:trHeight w:val="504"/>
        </w:trPr>
        <w:tc>
          <w:tcPr>
            <w:tcW w:w="1044" w:type="dxa"/>
            <w:vMerge w:val="restart"/>
            <w:vAlign w:val="center"/>
          </w:tcPr>
          <w:p w:rsidR="00A82ABF" w:rsidRPr="00E41667" w:rsidRDefault="00A82ABF" w:rsidP="00C662EB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E41667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E4166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E4166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չափաբաժնի</w:t>
            </w:r>
            <w:proofErr w:type="spellEnd"/>
            <w:r w:rsidRPr="00E4166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համարը</w:t>
            </w:r>
            <w:proofErr w:type="spellEnd"/>
            <w:r w:rsidRPr="00E41667">
              <w:rPr>
                <w:rStyle w:val="FootnoteReference"/>
                <w:rFonts w:ascii="Sylfaen" w:hAnsi="Sylfaen"/>
                <w:sz w:val="18"/>
                <w:szCs w:val="18"/>
              </w:rPr>
              <w:footnoteReference w:id="1"/>
            </w:r>
          </w:p>
        </w:tc>
        <w:tc>
          <w:tcPr>
            <w:tcW w:w="1276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bookmarkStart w:id="0" w:name="_GoBack"/>
            <w:bookmarkEnd w:id="0"/>
            <w:proofErr w:type="spellStart"/>
            <w:r w:rsidRPr="00E41667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4484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E4166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  <w:r w:rsidRPr="00E41667">
              <w:rPr>
                <w:rStyle w:val="FootnoteReference"/>
                <w:rFonts w:ascii="Sylfaen" w:hAnsi="Sylfaen" w:cs="Arial"/>
                <w:sz w:val="18"/>
                <w:szCs w:val="18"/>
              </w:rPr>
              <w:footnoteReference w:id="2"/>
            </w:r>
          </w:p>
        </w:tc>
        <w:tc>
          <w:tcPr>
            <w:tcW w:w="810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E4166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  <w:r w:rsidRPr="00E41667">
              <w:rPr>
                <w:rStyle w:val="FootnoteReference"/>
                <w:rFonts w:ascii="Sylfaen" w:hAnsi="Sylfaen"/>
                <w:sz w:val="18"/>
                <w:szCs w:val="18"/>
              </w:rPr>
              <w:footnoteReference w:id="3"/>
            </w:r>
          </w:p>
        </w:tc>
        <w:tc>
          <w:tcPr>
            <w:tcW w:w="810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E41667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330" w:type="dxa"/>
            <w:gridSpan w:val="2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E41667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A82ABF" w:rsidRPr="00E41667" w:rsidTr="00A82ABF">
        <w:trPr>
          <w:trHeight w:val="427"/>
        </w:trPr>
        <w:tc>
          <w:tcPr>
            <w:tcW w:w="1044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484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E41667">
              <w:rPr>
                <w:rStyle w:val="FootnoteReference"/>
                <w:rFonts w:ascii="Sylfaen" w:hAnsi="Sylfaen" w:cs="Arial"/>
                <w:sz w:val="18"/>
                <w:szCs w:val="18"/>
              </w:rPr>
              <w:footnoteReference w:id="4"/>
            </w: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890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E41667">
              <w:rPr>
                <w:rFonts w:ascii="Sylfaen" w:hAnsi="Sylfaen" w:cs="Arial"/>
                <w:sz w:val="18"/>
                <w:szCs w:val="18"/>
              </w:rPr>
              <w:t>Ժամկետը</w:t>
            </w:r>
            <w:proofErr w:type="spellEnd"/>
            <w:r w:rsidRPr="00E41667">
              <w:rPr>
                <w:rFonts w:ascii="Sylfaen" w:hAnsi="Sylfaen"/>
                <w:sz w:val="18"/>
                <w:szCs w:val="18"/>
              </w:rPr>
              <w:t>**</w:t>
            </w:r>
            <w:r w:rsidRPr="00E41667">
              <w:rPr>
                <w:rStyle w:val="FootnoteReference"/>
                <w:rFonts w:ascii="Sylfaen" w:hAnsi="Sylfaen"/>
                <w:sz w:val="18"/>
                <w:szCs w:val="18"/>
              </w:rPr>
              <w:footnoteReference w:id="5"/>
            </w:r>
          </w:p>
        </w:tc>
      </w:tr>
      <w:tr w:rsidR="00A82ABF" w:rsidRPr="00E41667" w:rsidTr="00A82ABF">
        <w:trPr>
          <w:trHeight w:val="1223"/>
        </w:trPr>
        <w:tc>
          <w:tcPr>
            <w:tcW w:w="1044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</w:pPr>
            <w:r w:rsidRPr="00E41667"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  <w:vAlign w:val="center"/>
          </w:tcPr>
          <w:p w:rsidR="00A82ABF" w:rsidRPr="00E41667" w:rsidRDefault="00A82ABF" w:rsidP="00C662E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lang w:val="hy-AM"/>
              </w:rPr>
              <w:t>Ցանցային տեսախցիկ</w:t>
            </w:r>
          </w:p>
        </w:tc>
        <w:tc>
          <w:tcPr>
            <w:tcW w:w="4484" w:type="dxa"/>
            <w:vAlign w:val="center"/>
          </w:tcPr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Տեսակ: IP տեսախցիկ (ցանցային), ձևաչափը Cube Network Camera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Մատրիցա: CMOS, 1/3", Կետայնություն առնվազն 4 ՄՊ 2688 × 1520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 xml:space="preserve">Նվազագույն լուսավորություն  color: 0.005 Lux @ (F1.6, AGC ON), B/W: 0 Lux with IR 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 xml:space="preserve">Դինամիկ տիրույթ (WDR): առնվազն 120 դԲ 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Օբեկտիվ. Ֆիքսված առնվազն 2.8 մմ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Տեսադաշտ.  Առնվազն հորիզոնական ՝ ~98°, ուղղահայաց՝ ~55°, անկյունագծային՝ ~114°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IR-լուսավորություն. Մինչև 10 մետր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Տեսագրում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 xml:space="preserve">Հիմանկան հոսք 50Hz: 25fps (2688 × 1520, 2560 × 1440, 2304 × 1296, 1920 × 1080) 60Hz: 30fps (2688 × 1520, 2560 × 1440, 2304 × 1296, 1920 × 1080) 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 xml:space="preserve">Եկրորդային հոսք 50Hz: 25fps (640 × 480, 640 × 360, 320 × 240) 60Hz: 30fps (640 × 480, 640 × 360, 320 × 240) 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Սեղման պրոտակոլներ՝ հիմնական՝H.265/H.264/H.264+/H.265+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Եկրորդային՝ H.265/H.264/MJPEG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Ձայն՝ շրջակա միջավայրի աղմուկի զտում,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 xml:space="preserve">Սեղմում՝ G722.1/G711ulaw/G711alaw/G726/MP2L2/PCM 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 xml:space="preserve">Շարժման սենրսոր. Ներկառուցված, պասիվ ինֆրակարմիր հայտնաբերում(PIR) 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Ինտերֆեյս և սնուցում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ներկառուցված միրոֆոն, ներկառուցված բարձրախոս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Սնուցում 12 VDC ± 25%, PoE (802.3af, class 3),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Ցանցային միացում՝ 1 RJ45 10 M/100 M self-adaptive Ethernet port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Ներկառուցված հիշողության քարտի հնարավորություն՝ Micro SD/SDHC/SDXC, մինչև 128 GB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Լրացուցիչ ֆունկցիաներ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ONVIF  (համատեղելիության պրոտոկոլ)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Փաթեթում պետք է  ներառված լինի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 xml:space="preserve">տեսախցիկ, ամրացման ոտնակ, համապատասխան սնուցման սարք առնվազն 12v </w:t>
            </w: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1A,  ՀՀ տարածքում գործող ստանդարտներին համապատասխան միացման հնարավորությամբ։</w:t>
            </w:r>
          </w:p>
          <w:p w:rsidR="00A82ABF" w:rsidRPr="00E41667" w:rsidRDefault="00A82ABF" w:rsidP="00C662EB">
            <w:pPr>
              <w:tabs>
                <w:tab w:val="left" w:pos="0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/>
                <w:sz w:val="18"/>
                <w:szCs w:val="18"/>
                <w:lang w:val="hy-AM"/>
              </w:rPr>
              <w:t>Երաշխիքային սպասարկում առնվազն 1 տարի:</w:t>
            </w:r>
          </w:p>
        </w:tc>
        <w:tc>
          <w:tcPr>
            <w:tcW w:w="810" w:type="dxa"/>
            <w:vAlign w:val="center"/>
          </w:tcPr>
          <w:p w:rsidR="00A82ABF" w:rsidRPr="00E41667" w:rsidRDefault="00A82ABF" w:rsidP="00C662E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810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440" w:type="dxa"/>
            <w:vAlign w:val="center"/>
          </w:tcPr>
          <w:p w:rsidR="00A82ABF" w:rsidRPr="00E41667" w:rsidRDefault="00A82ABF" w:rsidP="00C662E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890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E41667">
              <w:rPr>
                <w:rFonts w:ascii="Sylfaen" w:hAnsi="Sylfaen" w:cs="Arial"/>
                <w:sz w:val="18"/>
                <w:szCs w:val="18"/>
                <w:lang w:val="hy-AM"/>
              </w:rPr>
              <w:t>Պայմանագրի կնքման օրվանից հաշված 30 օրացուցային օրվա ընթացքում</w:t>
            </w:r>
          </w:p>
        </w:tc>
      </w:tr>
    </w:tbl>
    <w:p w:rsidR="00152645" w:rsidRDefault="00B326D8">
      <w:pPr>
        <w:rPr>
          <w:rFonts w:asciiTheme="minorHAnsi" w:hAnsiTheme="minorHAnsi"/>
          <w:lang w:val="hy-AM"/>
        </w:rPr>
      </w:pPr>
    </w:p>
    <w:p w:rsidR="00FB39F3" w:rsidRDefault="00FB39F3">
      <w:pPr>
        <w:rPr>
          <w:rFonts w:asciiTheme="minorHAnsi" w:hAnsiTheme="minorHAnsi"/>
          <w:lang w:val="hy-AM"/>
        </w:rPr>
      </w:pPr>
    </w:p>
    <w:p w:rsidR="00FB39F3" w:rsidRDefault="00FB39F3">
      <w:pPr>
        <w:rPr>
          <w:rFonts w:asciiTheme="minorHAnsi" w:hAnsiTheme="minorHAnsi"/>
          <w:lang w:val="hy-AM"/>
        </w:rPr>
      </w:pP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2"/>
        <w:gridCol w:w="969"/>
        <w:gridCol w:w="3871"/>
        <w:gridCol w:w="1063"/>
        <w:gridCol w:w="749"/>
        <w:gridCol w:w="1025"/>
        <w:gridCol w:w="1379"/>
      </w:tblGrid>
      <w:tr w:rsidR="00FB39F3" w:rsidRPr="00E41667" w:rsidTr="00A82ABF">
        <w:trPr>
          <w:trHeight w:val="422"/>
          <w:jc w:val="center"/>
        </w:trPr>
        <w:tc>
          <w:tcPr>
            <w:tcW w:w="10798" w:type="dxa"/>
            <w:gridSpan w:val="7"/>
          </w:tcPr>
          <w:p w:rsidR="00FB39F3" w:rsidRPr="00E41667" w:rsidRDefault="00FB39F3" w:rsidP="00C662EB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proofErr w:type="spellStart"/>
            <w:r w:rsidRPr="00E41667">
              <w:rPr>
                <w:rFonts w:ascii="Sylfaen" w:hAnsi="Sylfaen"/>
                <w:szCs w:val="24"/>
                <w:lang w:bidi="ru-RU"/>
              </w:rPr>
              <w:t>Товар</w:t>
            </w:r>
            <w:proofErr w:type="spellEnd"/>
          </w:p>
        </w:tc>
      </w:tr>
      <w:tr w:rsidR="00A82ABF" w:rsidRPr="00E41667" w:rsidTr="00A82ABF">
        <w:trPr>
          <w:trHeight w:val="247"/>
          <w:jc w:val="center"/>
        </w:trPr>
        <w:tc>
          <w:tcPr>
            <w:tcW w:w="1742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969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E41667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871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E41667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63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749" w:type="dxa"/>
            <w:vMerge w:val="restart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404" w:type="dxa"/>
            <w:gridSpan w:val="2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A82ABF" w:rsidRPr="00E41667" w:rsidTr="00A82ABF">
        <w:trPr>
          <w:trHeight w:val="1108"/>
          <w:jc w:val="center"/>
        </w:trPr>
        <w:tc>
          <w:tcPr>
            <w:tcW w:w="1742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969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3871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63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749" w:type="dxa"/>
            <w:vMerge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25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379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  <w:r w:rsidRPr="00E41667">
              <w:rPr>
                <w:rFonts w:ascii="Sylfaen" w:hAnsi="Sylfaen"/>
                <w:sz w:val="18"/>
                <w:szCs w:val="24"/>
                <w:lang w:val="pt-BR"/>
              </w:rPr>
              <w:footnoteReference w:customMarkFollows="1" w:id="6"/>
              <w:t>**</w:t>
            </w:r>
          </w:p>
        </w:tc>
      </w:tr>
      <w:tr w:rsidR="00A82ABF" w:rsidRPr="00E41667" w:rsidTr="00A82ABF">
        <w:trPr>
          <w:trHeight w:val="70"/>
          <w:jc w:val="center"/>
        </w:trPr>
        <w:tc>
          <w:tcPr>
            <w:tcW w:w="1742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E41667">
              <w:rPr>
                <w:rFonts w:ascii="Sylfaen" w:hAnsi="Sylfaen"/>
                <w:sz w:val="20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E41667">
              <w:rPr>
                <w:rFonts w:ascii="Sylfaen" w:hAnsi="Sylfaen"/>
                <w:sz w:val="20"/>
                <w:szCs w:val="24"/>
                <w:lang w:val="ru-RU"/>
              </w:rPr>
              <w:t>Сетевая камера</w:t>
            </w:r>
          </w:p>
        </w:tc>
        <w:tc>
          <w:tcPr>
            <w:tcW w:w="3871" w:type="dxa"/>
          </w:tcPr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Тип: IP-камера (сетевая), формат Cube Network Camera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Матрица: CMOS, 1/3", разрешение не менее 4 МП 2688 × 1520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Минимальная освещенность (цветная): 0,005 люкс при (F1.6, AGC ON), черно-белая: 0 люкс с ИК-подсветкой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Динамический диапазон (WDR): не менее 120 дБ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Объектив: фиксированный, не менее 2,8 мм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Поле зрения: не менее горизонтальное: ~98°, вертикальное: ~55°, диагональное: ~114°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ИК-подсветка: до 10 метров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Видеозапись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Базовый поток 50 Гц: 25 кадров в секунду (2688 × 1520, 2560 × 1440, 2304 × 1296, 1920 × 1080) 60 Гц: 30 кадров в секунду (2688 × 1520, 2560 × 1440, 2304 × 1296, 1920 × 1080)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Вторичный поток 50 Гц: 25 кадров в секунду (640 × 480, 640 × 360, 320 × 240) 60 Гц: 30 кадров в секунду (640 × 480, 640 × 360, 320 × 240)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Протоколы сжатия: Основной: H.265/H.264/H.264+/H.265+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Вторичный: H.265/H.264/MJPEG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Аудио: Снижение окружающего шума,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Сжатие: G722.1/G711ulaw/G711alaw/G726/MP2L2/PCM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Датчик движения: встроенный, пассивный инфракрасный датчик (PIR)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Интерфейс и питание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встроенный микрофон, встроенный динамик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Питание 12 В постоянного тока ± 25%, PoE (802.3af, класс 3),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lastRenderedPageBreak/>
              <w:t>Сетевое подключение: 1 самоадаптивный порт Ethernet RJ45 10 Мбит/с/100 Мбит/с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Встроенная память для карт памяти: Micro SD/SDHC/SDXC, до 128 ГБ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Дополнительные функции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ONVIF (протокол совместимости)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В комплект поставки должны входить: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камера, монтажный кронштейн, подходящий блок питания не менее 12 В 1 А, с возможностью подключения в соответствии со стандартами, действующими на территории Республики Армения.</w:t>
            </w:r>
          </w:p>
          <w:p w:rsidR="00A82ABF" w:rsidRPr="00E41667" w:rsidRDefault="00A82ABF" w:rsidP="00C662EB">
            <w:pPr>
              <w:rPr>
                <w:rFonts w:ascii="Sylfaen" w:hAnsi="Sylfaen"/>
                <w:sz w:val="18"/>
                <w:lang w:val="pt-BR"/>
              </w:rPr>
            </w:pPr>
            <w:r w:rsidRPr="00E41667">
              <w:rPr>
                <w:rFonts w:ascii="Sylfaen" w:hAnsi="Sylfaen"/>
                <w:sz w:val="18"/>
                <w:lang w:val="pt-BR"/>
              </w:rPr>
              <w:t>Гарантийное обслуживание не менее 1 года.</w:t>
            </w:r>
          </w:p>
        </w:tc>
        <w:tc>
          <w:tcPr>
            <w:tcW w:w="1063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proofErr w:type="spellStart"/>
            <w:r w:rsidRPr="00E41667">
              <w:rPr>
                <w:rFonts w:ascii="Sylfaen" w:hAnsi="Sylfaen"/>
                <w:sz w:val="20"/>
                <w:szCs w:val="24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749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E41667"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1025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E41667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Ал. </w:t>
            </w:r>
            <w:proofErr w:type="spellStart"/>
            <w:r w:rsidRPr="00E41667">
              <w:rPr>
                <w:rFonts w:ascii="Sylfaen" w:hAnsi="Sylfaen"/>
                <w:sz w:val="20"/>
                <w:szCs w:val="24"/>
                <w:lang w:val="ru-RU"/>
              </w:rPr>
              <w:t>Манукян</w:t>
            </w:r>
            <w:proofErr w:type="spellEnd"/>
            <w:r w:rsidRPr="00E41667">
              <w:rPr>
                <w:rFonts w:ascii="Sylfaen" w:hAnsi="Sylfaen"/>
                <w:sz w:val="20"/>
                <w:szCs w:val="24"/>
                <w:lang w:val="ru-RU"/>
              </w:rPr>
              <w:t xml:space="preserve"> 1</w:t>
            </w:r>
          </w:p>
        </w:tc>
        <w:tc>
          <w:tcPr>
            <w:tcW w:w="1379" w:type="dxa"/>
            <w:vAlign w:val="center"/>
          </w:tcPr>
          <w:p w:rsidR="00A82ABF" w:rsidRPr="00E41667" w:rsidRDefault="00A82ABF" w:rsidP="00C662EB">
            <w:pPr>
              <w:jc w:val="center"/>
              <w:rPr>
                <w:rFonts w:ascii="Sylfaen" w:hAnsi="Sylfaen"/>
                <w:sz w:val="20"/>
                <w:szCs w:val="24"/>
                <w:lang w:val="hy-AM"/>
              </w:rPr>
            </w:pPr>
            <w:r w:rsidRPr="00E41667">
              <w:rPr>
                <w:rFonts w:ascii="Sylfaen" w:hAnsi="Sylfaen"/>
                <w:sz w:val="20"/>
                <w:szCs w:val="24"/>
                <w:lang w:val="pt-BR"/>
              </w:rPr>
              <w:t xml:space="preserve">По истечении </w:t>
            </w:r>
            <w:r w:rsidRPr="00E41667">
              <w:rPr>
                <w:rFonts w:ascii="Sylfaen" w:hAnsi="Sylfaen"/>
                <w:sz w:val="20"/>
                <w:szCs w:val="24"/>
                <w:lang w:val="ru-RU"/>
              </w:rPr>
              <w:t xml:space="preserve">30 </w:t>
            </w:r>
            <w:r w:rsidRPr="00E41667">
              <w:rPr>
                <w:rFonts w:ascii="Sylfaen" w:hAnsi="Sylfaen"/>
                <w:sz w:val="20"/>
                <w:szCs w:val="24"/>
                <w:lang w:val="pt-BR"/>
              </w:rPr>
              <w:t xml:space="preserve"> календарных дней со дня заключения договора</w:t>
            </w:r>
            <w:r w:rsidRPr="00E41667">
              <w:rPr>
                <w:rFonts w:ascii="Sylfaen" w:hAnsi="Sylfaen"/>
                <w:sz w:val="20"/>
                <w:szCs w:val="24"/>
                <w:lang w:val="hy-AM"/>
              </w:rPr>
              <w:t>,</w:t>
            </w:r>
          </w:p>
        </w:tc>
      </w:tr>
    </w:tbl>
    <w:p w:rsidR="00FB39F3" w:rsidRPr="00FB39F3" w:rsidRDefault="00FB39F3">
      <w:pPr>
        <w:rPr>
          <w:rFonts w:asciiTheme="minorHAnsi" w:hAnsiTheme="minorHAnsi"/>
          <w:lang w:val="ru-RU"/>
        </w:rPr>
      </w:pPr>
    </w:p>
    <w:p w:rsidR="00FB39F3" w:rsidRDefault="00FB39F3">
      <w:pPr>
        <w:rPr>
          <w:rFonts w:asciiTheme="minorHAnsi" w:hAnsiTheme="minorHAnsi"/>
          <w:lang w:val="hy-AM"/>
        </w:rPr>
      </w:pPr>
    </w:p>
    <w:p w:rsidR="00FB39F3" w:rsidRPr="00FB39F3" w:rsidRDefault="00FB39F3">
      <w:pPr>
        <w:rPr>
          <w:rFonts w:asciiTheme="minorHAnsi" w:hAnsiTheme="minorHAnsi"/>
          <w:lang w:val="hy-AM"/>
        </w:rPr>
      </w:pPr>
    </w:p>
    <w:sectPr w:rsidR="00FB39F3" w:rsidRPr="00FB3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6D8" w:rsidRDefault="00B326D8" w:rsidP="00FB39F3">
      <w:r>
        <w:separator/>
      </w:r>
    </w:p>
  </w:endnote>
  <w:endnote w:type="continuationSeparator" w:id="0">
    <w:p w:rsidR="00B326D8" w:rsidRDefault="00B326D8" w:rsidP="00FB3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6D8" w:rsidRDefault="00B326D8" w:rsidP="00FB39F3">
      <w:r>
        <w:separator/>
      </w:r>
    </w:p>
  </w:footnote>
  <w:footnote w:type="continuationSeparator" w:id="0">
    <w:p w:rsidR="00B326D8" w:rsidRDefault="00B326D8" w:rsidP="00FB39F3">
      <w:r>
        <w:continuationSeparator/>
      </w:r>
    </w:p>
  </w:footnote>
  <w:footnote w:id="1">
    <w:p w:rsidR="00A82ABF" w:rsidRPr="00FB39F3" w:rsidRDefault="00A82ABF" w:rsidP="00FB39F3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A82ABF" w:rsidRPr="00BD4E94" w:rsidRDefault="00A82ABF" w:rsidP="00FB39F3">
      <w:pPr>
        <w:pStyle w:val="FootnoteText"/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</w:t>
      </w:r>
    </w:p>
  </w:footnote>
  <w:footnote w:id="3">
    <w:p w:rsidR="00A82ABF" w:rsidRPr="00FB39F3" w:rsidRDefault="00A82ABF" w:rsidP="00FB39F3">
      <w:pPr>
        <w:pStyle w:val="FootnoteText"/>
        <w:rPr>
          <w:rFonts w:asciiTheme="minorHAnsi" w:hAnsiTheme="minorHAnsi"/>
          <w:lang w:val="hy-AM"/>
        </w:rPr>
      </w:pPr>
    </w:p>
  </w:footnote>
  <w:footnote w:id="4">
    <w:p w:rsidR="00A82ABF" w:rsidRPr="00FB39F3" w:rsidRDefault="00A82ABF" w:rsidP="00FB39F3">
      <w:pPr>
        <w:pStyle w:val="FootnoteText"/>
        <w:rPr>
          <w:rFonts w:asciiTheme="minorHAnsi" w:hAnsiTheme="minorHAnsi"/>
          <w:sz w:val="16"/>
          <w:lang w:val="hy-AM"/>
        </w:rPr>
      </w:pPr>
    </w:p>
  </w:footnote>
  <w:footnote w:id="5">
    <w:p w:rsidR="00A82ABF" w:rsidRPr="00FB39F3" w:rsidRDefault="00A82ABF" w:rsidP="00FB39F3">
      <w:pPr>
        <w:pStyle w:val="FootnoteText"/>
        <w:rPr>
          <w:rFonts w:asciiTheme="minorHAnsi" w:hAnsiTheme="minorHAnsi"/>
          <w:sz w:val="16"/>
          <w:lang w:val="hy-AM"/>
        </w:rPr>
      </w:pPr>
    </w:p>
  </w:footnote>
  <w:footnote w:id="6">
    <w:p w:rsidR="00A82ABF" w:rsidRPr="00E6680E" w:rsidRDefault="00A82ABF" w:rsidP="00FB39F3">
      <w:pPr>
        <w:rPr>
          <w:lang w:val="hy-AM"/>
        </w:rPr>
      </w:pPr>
    </w:p>
    <w:p w:rsidR="00A82ABF" w:rsidRPr="00BD4E94" w:rsidRDefault="00A82ABF" w:rsidP="00FB39F3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ED9"/>
    <w:rsid w:val="000D00C8"/>
    <w:rsid w:val="001814D5"/>
    <w:rsid w:val="00542ED9"/>
    <w:rsid w:val="00A82ABF"/>
    <w:rsid w:val="00B326D8"/>
    <w:rsid w:val="00BA39B0"/>
    <w:rsid w:val="00FB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93E0D"/>
  <w15:chartTrackingRefBased/>
  <w15:docId w15:val="{EBDD655E-1B45-42AD-9D09-71F70D93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9F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FB39F3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FB39F3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FB39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3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5</cp:revision>
  <dcterms:created xsi:type="dcterms:W3CDTF">2026-02-13T07:38:00Z</dcterms:created>
  <dcterms:modified xsi:type="dcterms:W3CDTF">2026-02-13T08:23:00Z</dcterms:modified>
</cp:coreProperties>
</file>