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Инъекционный шприц: Оригинальный: Шприц должен быть совместим с оборудованием Accutron CT-D Medtron и Accutron MR Medtron. Форма: Новый, неиспользованный. Срок годности не менее половины от полного срока годности на момент поставки. Наличие сертификата(ов) качества обязательно. Предмет покупки предназначен для оборудования Accutron CT-D Medtron и Accutron MR Medtron, используемого в университетской больнице, которое может работать только с оригинальным инъекционным шприцем Medtron.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иопромида для инъекций 769 мг/мл (370 мг йода/мл), стеклянный флакон 100 мл. Новый, неиспользованный,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темном месте, защищенном от солнечного света, в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