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տպիչների ձեռքբերում ՌՀԱԲԿ ԷԱԱՊՁԲ 26/19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տպիչների ձեռքբերում ՌՀԱԲԿ ԷԱԱՊՁԲ 26/19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տպիչների ձեռքբերում ՌՀԱԲԿ ԷԱԱՊՁԲ 26/19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տպիչների ձեռքբերում ՌՀԱԲԿ ԷԱԱՊՁԲ 26/19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մինչև 30,12,2026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