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ՀՀՇՄԳՀՀԿՀ-ԷԱ-ԱՊՁԲ-21/26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деревьев для нужд муниципалитета Гюмри.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arm.sargsyan1992@gmail.com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ՀՀՇՄԳՀՀԿՀ-ԷԱ-ԱՊՁԲ-21/26</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деревьев для нужд муниципалитета Гюмри.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деревьев для нужд муниципалитета Гюмри.</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ՀՀՇՄԳՀՀԿՀ-ԷԱ-ԱՊՁԲ-21/26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arm.sargsyan1992@gmail.com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деревьев для нужд муниципалитета Гюмри.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ՀՀՇՄԳՀՀԿՀ-ԷԱ-ԱՊՁԲ-21/26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Շիրակի մարզ, Գյումրիի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ՀՀՇՄԳՀՀԿՀ-ԷԱ-ԱՊՁԲ-21/26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ՀՀՇՄԳՀՀԿՀ-ԷԱ-ԱՊՁԲ-21/26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"ՀՀՇՄԳՀՀԿՀ-ԷԱ-ԱՊՁԲ-21/26"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ՀՀՇՄԳՀՀԿՀ-ԷԱ-ԱՊՁԲ-21/26*.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"ՀՀՇՄԳՀՀԿՀ-ԷԱ-ԱՊՁԲ-21/26"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համայնքապետարան*(далее — Заказчик) процедуре закупок под кодом ՀՀՇՄԳՀՀԿՀ-ԷԱ-ԱՊՁԲ-21/26*.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ՀՀՇՄԳՀՀԿՀ-ԷԱ-ԱՊՁԲ-21/26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Արոսենի 1,8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Գետնամերձ թեղի՝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բրգաձև բարդի՝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սոչենի կովկասյան՝ 1,5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հացենատերև թխկի՝2 -2,5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Փշատենի նեղատերև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