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պարարտանյութերի ձեռքբերման նպատակով ՀԱԱՀ-ԷԱՃԱՊՁԲ-26/1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s.melkonyan@promotion.am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պարարտանյութերի ձեռքբերման նպատակով ՀԱԱՀ-ԷԱՃԱՊՁԲ-26/1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պարարտանյութերի ձեռքբերման նպատակով ՀԱԱՀ-ԷԱՃԱՊՁԲ-26/1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s.melkonyan@promotion.am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պարարտանյութերի ձեռքբերման նպատակով ՀԱԱՀ-ԷԱՃԱՊՁԲ-26/1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Կոմպլեքս  պարարտանյութ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Կոմպլեքս  պարարտանյութ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57%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Կոմպլեքս  պարարտանյութ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Ջրալուծ, հիդրոպոնիկայի համար: Բույսերին անհրաժեշտ 2-3 հիմնական սննդատարր /N, P2O5, K2O/ պարունակող պարարտանյութ: Կազմին ավելացվում է միկրոտարրեր /B, Mn, Cu, Zn, Mo/: Երկար պահելիս չեն պնդանում: Գույնը դեղնավուն է: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Կոմպլեքս  պարարտանյութ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Պարունակում է բույսերին անհրաժեշտ 3-4 հիմնական սննդատարր /N, P2O5, K2O/ ինչպես նաև կալցիում պարունակող պարարտանյութ: Կազմին ավելացվում է միկրոտարրեր /B, Mn, Cu, Zn, Mo/: Երկար պահելիս չեն պնդանում: Գույնը դեղնավուն է: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տարբեր տեսակներ պահանջում են թթվայնության տարբեր ցուցանիշներ: Անհրաժեշտ թթվայնություն չապահովելու դեպքում բույսը չի վերցնում աճի համար պարտադիր որոշ սննդատարրեր: Թթվայնության կարգավորման համար կիրառվում են ազոտական և ֆոսֆորական թթուներ: Ազոտական թթուն ուժեղ միահիմն թթու է, ջրի հետ լուծվում է ցանկացած հարաբերությամբ: Գյուղատնտեսությունում կիրառվում է ինչպես սննդարար լուծույթի թթվայնության կարգավորման, այնպես էլ կաթիլային ոռոգման համակարգի լվացման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Կոմպլեքս  պարարտանյութ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Կոմպլեքս  պարարտանյութ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