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ՀՀՇՄԳՀՀԿՀ-ԷԱ-ԱՊՁԲ-21/26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ծառերի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ՀՀՇՄԳՀՀԿՀ-ԷԱ-ԱՊՁԲ-21/26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ծառերի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ծառերի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ՀՀՇՄԳՀՀԿՀ-ԷԱ-ԱՊՁԲ-21/26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ծառերի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ՀՀՇՄԳՀՀԿՀ-ԷԱ-ԱՊՁԲ-21/26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ՀՀՇՄԳՀՀԿՀ-ԷԱ-ԱՊՁԲ-21/26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«ՀՀՇՄԳՀՀԿՀ-ԷԱ-ԱՊՁԲ-21/26»*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«ՀՀՇՄԳՀՀԿՀ-ԷԱ-ԱՊՁԲ-21/26»*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Արոսենի 1,8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Գետնամերձ թեղի՝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բրգաձև բարդի՝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սոչենի կովկասյան՝ 1,5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հացենատերև թխկի՝2 -2,5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Փշատենի նեղատերև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 թվականի ընթացքում գարնանային կամ աշնանային ծառատնկման սեզոնին՝  ըստ Պատվիրատուի նախօրոք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