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2026.02.16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ՀՀ-ՊԵԿ-ԷԱՃԱՇՁԲ-26/14-Ք</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պետական եկամուտների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Մովսես Խորենացու 3,7</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Ազնիվ Քոթանջյան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+37460844703, +37460844702, +37460844704, +37460844708,, +37460844709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azniv_kotanjyan@taxservice.am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պետական եկամուտների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ՀՀ-ՊԵԿ-ԷԱՃԱՇՁԲ-26/14-Ք</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2026.02.16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պետական եկամուտների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պետական եկամուտների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պետական եկամուտների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ՀՀ-ՊԵԿ-ԷԱՃԱՇՁԲ-26/14-Ք</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azniv_kotanjyan@taxservice.am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հրամանի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հրաման`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/ռուսերեն/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/ֆրանսերեն/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/անգլերեն/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/ռուսերեն/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/անգլերեն/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/ֆրանսերեն/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ՀՕՀՎ ՕՀՄ հաշվառման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ԹՎԱՅԻՆ ՀԵՏԱԽՈՒԶՈՒԹՅԱՆ ԼԱԲՈՐԱՏՈՐԻԱ ԲԱԺՆԻ հաշվառման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ՀՀ ՊԵԿ լոգոյով /միջին չափսի/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377.67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4.9086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448.14</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2026.03.02.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ՀՀ-ՊԵԿ-ԷԱՃԱՇՁԲ-26/14-Ք</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ՀՀ-ՊԵԿ-ԷԱՃԱՇՁԲ-26/14-Ք</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«ՀՀ-ՊԵԿ-ԷԱՃԱՇՁԲ-26/14-Ք»*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ՀՀ-ՊԵԿ-ԷԱՃԱՇՁԲ-26/14-Ք*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«ՀՀ-ՊԵԿ-ԷԱՃԱՇՁԲ-26/14-Ք»*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ՀՀ-ՊԵԿ-ԷԱՃԱՇՁԲ-26/14-Ք*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հրամանի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հրամանի բլանկ 
Թղթի տեսակը օֆսեթ՝ առնվազն 80գմ2, չափերը` 210x297մմ ±1մմ, տպագրությունը` 4+0Այլ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հրաման`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հրաման` բլանկ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/ռուսերեն/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/ֆրանսերեն/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/անգլերեն/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/ռուսերեն/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/անգլերեն/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/ֆրանսերեն/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/եռալեզու/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/քառալեզու/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Թղթի տեսակը օֆսեթ՝ առնվազն 80գմ2, չափերը` 210x297մմ ±1մմ, տպագրությունը` 4+0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Տպագրությունը՝ 1+1, թղթի տեսակը՝ ստվարաթուղթ: Չափսը՝ 210x297մմ±5մմ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ՀՕՀՎ ՕՀՄ հաշվառման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ՀՕՀՎ ՕՀՄ հաշվառման թղթապանակ
Չափսերը` ծալված վիճակում 320x217մմ ± 5մմ, բացված վիճակում 460x320մմᮼ ± 5մմ, թղթի տեսակը` ստվարաթուղթ – խրոմերզաց 250գ/մ2, տպագրությունը օֆսեթ եղանակով (1+1) երկկողմանի տպագրություն: Թղթապանակը ներսի մասից պետք է ունենա 2 ծալքի տեղ միմյանցից հեռավորությունը 25մմ±3մմ և արագակարի ամրակ 90մմ±3մմ երկարությամբ: Փաթեթավորումը 100 հատով: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ԹՎԱՅԻՆ ՀԵՏԱԽՈՒԶՈՒԹՅԱՆ ԼԱԲՈՐԱՏՈՐԻԱ ԲԱԺՆԻ հաշվառման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ԹՎԱՅԻՆ ՀԵՏԱԽՈՒԶՈՒԹՅԱՆ ԼԱԲՈՐԱՏՈՐԻԱ ԲԱԺՆԻ հաշվառման թղթապանակ
Չափսերը` ծալված վիճակում 320x217մմ ± 5մմ, բացված վիճակում 460x320մմᮼ ± 5մմ, թղթի տեսակը` ստվարաթուղթ – խրոմերզաց 250գ/մ2, տպագրությունը օֆսեթ եղանակով (1+1) երկկողմանի տպագրություն: Թղթապանակը ներսի մասից պետք է ունենա 2 ծալքի տեղ միմյանցից հեռավորությունը 25մմ±3մմ և արագակարի ամրակ 90մմ±3մմ երկարությամբ: Փաթեթավորումը 100 հատով: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ՀՀ ՊԵԿ լոգոյով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ՀՀ ՊԵԿ լոգոյով /միջին չափսի/
Թղթի տեսակը երկկողմանի կավճապատ, խտությունը առնվազն՝ 250 գ/մ2, Տպագրությունը՝ 4+4: Անփայլ պաշտպանական թաղանթով: Չափսերը՝ 46,0x36,0x12սմ±1սմ
Թելի բռնակը՝ 30սմ±3սմ, կարմիր գույնի:
Տոպրակի վրա պետք Է երկու կողմերից տպագրված լինի ՀՀ ՊԵԿ տարբերանշանը,  հեռախոսահամարը, հասցեն, կայքէջը և էլ. Հասցեն, ինչպես նաև տոպրակի մի կողմից «ՀԱՅԱՍՏԱՆԻ ՀԱՆՐԱՊԵՏՈՒԹՅԱՆ ՊԵՏԱԿԱՆ ԵԿԱՄՈՒՏՆԵՐԻ ԿՈՄԻՏԵ» բառերը, իսկ մյուս կողմից «STATE REVENUE COMMITTEE OF THE REPUBLIC OF ARMENIA» բառերը:
Տոպրակի գույնը արտաքինից կապույտ, ներքինից կարմիր՝ ՀՀ ՊԵԿ լոգոյի գույներին համապատասխան Այլ պայմաններ
*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հրամանի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հրաման`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առաջին տեղակալի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տեղակալի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ՀՕՀՎ ՕՀՄ հաշվառման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ԹՎԱՅԻՆ ՀԵՏԱԽՈՒԶՈՒԹՅԱՆ ԼԱԲՈՐԱՏՈՐԻԱ ԲԱԺՆԻ հաշվառման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 ՀՀ ՊԵԿ լոգոյով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