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26-18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կոտրվածքների դեպքում կիրառվող պարագաների ձեռք										                                                                ՀՀ դրամ Ապրանքի հրավերով նախատեսված չափաբաժնի համարը	գնումների պլանով նախատեսված միջա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26-18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կոտրվածքների դեպքում կիրառվող պարագաների ձեռք										                                                                ՀՀ դրամ Ապրանքի հրավերով նախատեսված չափաբաժնի համարը	գնումների պլանով նախատեսված միջա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կոտրվածքների դեպքում կիրառվող պարագաների ձեռք										                                                                ՀՀ դրամ Ապրանքի հրավերով նախատեսված չափաբաժնի համարը	գնումների պլանով նախատեսված միջա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կոտրվածքների դեպքում կիրառվող պարագաների ձեռք										                                                                ՀՀ դրամ Ապրանքի հրավերով նախատեսված չափաբաժնի համարը	գնումների պլանով նախատեսված միջա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փոքր  մետաղական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―մետաղական միջին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 մետաղական մեծ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էնդոպրոթեզ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էնդոպրոթեզ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―Տոտալ էնդոպրոթեզ ցեմենտային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Տոտալ էնդոպրոթեզ ոչ ցեմենտային կոնքազդրային հոդի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փոքր  մետաղական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―մետաղական միջին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 մետաղական մեծ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էնդոպրոթեզ կոնքազդրային հոդի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էնդոպրոթեզ կոնքազդրային հոդի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―Տոտալ էնդոպրոթեզ ցեմենտային կոնքազդրային հոդի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Տոտալ էնդոպրոթեզ ոչ ցեմենտային կոնքազդրային հոդի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պետք է կատարվի 24/7 ռեժիմով՝  պատվերի ընդունելուց  առավելագույնը 3 (երեք) ժամվա ընթացքում, ընդ որում 1-ին փուլի համար պայմանագիրը ուժի մեջ մտնելուց հետո20 օրացուցային օր հետո /եթե մատակարարը չի համաձայնվում մատակարարել ավելի շուտ/։  Յուրաքանչյուր վիրահատության ժամանակ մատակարարը պարտավոր է ապահովել պահանջվող իմպլանտի բոլոր չափերի հասանելիությունը։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