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ՀԿԱԾ-ԷԱՃԱՊՁԲ-26/20 ծածկագրով ՀԿԱԾ կարիքների համար դիզելային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ՀԿԱԾ-ԷԱՃԱՊՁԲ-26/20 ծածկագրով ՀԿԱԾ կարիքների համար դիզելային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ՀԿԱԾ-ԷԱՃԱՊՁԲ-26/20 ծածկագրով ՀԿԱԾ կարիքների համար դիզելային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ՀԿԱԾ-ԷԱՃԱՊՁԲ-26/20 ծածկագրով ՀԿԱԾ կարիքների համար դիզելային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 Վառելիքի մատակարարումը պետք է իրականացվի կտրոնային եղանակով: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