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ՀԳԴ-ԷԱՃԱՇՁԲ-26/1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դատախազություն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Վ. Սարգսյան 5</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դատախազության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Վիկտորիյա Մաշկովսկայա</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010511879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v.mashkovskaya@prosecutor.am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դատախազություն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ՀԳԴ-ԷԱՃԱՇՁԲ-26/1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դատախազություն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դատախազություն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դատախազության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դատախազություն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դատախազության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ՀԳԴ-ԷԱՃԱՇՁԲ-26/1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v.mashkovskaya@prosecutor.am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դատախազության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377.67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4.9086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448.14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2026.03.03. 10:30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ՀԳԴ-ԷԱՃԱՇՁԲ-26/1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ՀԳԴ-ԷԱՃԱՇՁԲ-26/1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«ՀԳԴ-ԷԱՃԱՇՁԲ-26/1»*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«ՀԳԴ-ԷԱՃԱՇՁԲ-26/1»*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^paymanagir:0^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Ձևաթուղթ/հրաման  ՀՀ գլխավոր դատախազի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միալեզու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հայերեն- 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հայերեն-անգլերեն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դատախազության գլխավոր քարտուղար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Որոշում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դատախազ ՀՀ գլխավոր դատախազի տեղակալ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կենտրոնական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երդման
A4 ձևաչափի, 4+0, 200գ/մ2, երկկողմանի կավճապատ, փայլուն, գունավոր ՀՀ զինանշաններով և դրոշով,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/ՀՀ դատախազության զինանշանով/
Երկկողմանի կազմը` Ֆեդրիկոն /կապույտ/,  300 գմ2, չափսը՝ 210x150մմ: 
Առջևի կազմի` արծաթագույն դաջվածք(շտամպ) (1+0)-- ՀՀ դատախազության զինանշան : 
 Էջերը տպագրված, 80 գմ2 սպիտակ օվսեթ թղթից, (1+0)՝ 50 թերթ, մետաղական զսպանակով:
  Կատարողը պատվիրատուի հաստատմանն է ներկայացնում էլեկտրոնային նմուշը և 1 բնօրինակ:
Նոթատետրը՝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վարույթ
A3 ձևաչափի խրոմերզաց, միակողման 1+0, ձևաթուղթ (ՀՀ դատախազության Հսկողական վարույթ) 350գ/մ2 , մեկ ծալքով,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ռուսերեն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անգլերեն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ռուսերեն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անգլերեն
 Թուղթ ֆեդրիկոն 300 գմ2 չափսը՝ 320x450մմ, միջնամասում ծալքով (բիգովկա), ոսկեգույն դաջվածք,  համաձայն նմուշի։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 10000 հատ -մինչև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 10000հատ.-մինչև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