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ԱՄԲՀ-ԷԱՃԱՊՁԲ-26/06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Բաղրամյան, Բաղրամյան փող.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 համայնքի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Զարինե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023322250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baghramyan.gnumner@mail.ru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մարզի Բաղրամյանի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ԱՄԲՀ-ԷԱՃԱՊՁԲ-26/06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մարզի Բաղրամյանի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մարզի Բաղրամյանի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Բաղրամյան համայնքի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մարզի Բաղրամյանի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Բաղրամյան համայնքի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ԱՄԲՀ-ԷԱՃԱՊՁԲ-26/06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baghramyan.gnumner@mail.ru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Բաղրամյան համայնքի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սղագրության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թղթերը դասավորելու հարմարանքներ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մարզի Բաղրամյանի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ԱՄԲՀ-ԷԱՃԱՊՁԲ-26/06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ԱՄԲՀ-ԷԱՃԱՊՁԲ-26/06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«ԱՄԲՀ-ԷԱՃԱՊՁԲ-26/06»*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«ԱՄԲՀ-ԷԱՃԱՊՁԲ-26/06»*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սղագրության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թղթերը դասավորելու հարմարանքներ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կնքելոС момента подписания контракта до 25 декабряւց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սղագրության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թղթերը դասավորելու հարմարանքներ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