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ԿՄՀՔ-ԷԱՃԱՊՁԲ-26/16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Հրազդանի համայնքապետարանի 2026 թվականի կարիքների համար «ԿՄՀՔ-ԷԱՃԱՊՁԲ-26/16» ծածկագրով ռոտորային ձյունամաքրիչի ձեռքբերման նպատակով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093455493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ԿՄՀՔ-ԷԱՃԱՊՁԲ-26/16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Հրազդանի համայնքապետարանի 2026 թվականի կարիքների համար «ԿՄՀՔ-ԷԱՃԱՊՁԲ-26/16» ծածկագրով ռոտորային ձյունամաքրիչի ձեռքբերման նպատակով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Հրազդանի համայնքապետարանի 2026 թվականի կարիքների համար «ԿՄՀՔ-ԷԱՃԱՊՁԲ-26/16» ծածկագրով ռոտորային ձյունամաքրիչի ձեռքբերման նպատակով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Հրազդանի համայնքապետարանի 2026 թվականի կարիքների համար «ԿՄՀՔ-ԷԱՃԱՊՁԲ-26/16» ծածկագրով ռոտորային ձյունամաքրիչի ձեռքբերման նպատակով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Շնեկառոտորային ձյունամաքրիչ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ԿՄՀՔ-ԷԱՃԱՊՁԲ-26/16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ԿՄՀՔ-ԷԱՃԱՊՁԲ-26/16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«ԿՄՀՔ-ԷԱՃԱՊՁԲ-26/16»*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ԿՄՀՔ-ԷԱՃԱՊՁԲ-26/16*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«ԿՄՀՔ-ԷԱՃԱՊՁԲ-26/16»*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ԿՄՀՔ-ԷԱՃԱՊՁԲ-26/16*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Շնեկառոտորային ձյունամաքրիչ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կողմնորոշիչ նկարը ներկայացվում է կից։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Սահմանադրության հրապարակ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կնքելուց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Շնեկառոտորային ձյունամաքրիչ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