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ՄԲԿ-ԷԱՃԱՊՁԲ-26/25 ծածկագրով սարքերի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ՄԲԿ-ԷԱՃԱՊՁԲ-26/25 ծածկագրով սարքերի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ՄԲԿ-ԷԱՃԱՊՁԲ-26/25 ծածկագրով սարքերի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ՄԲԿ-ԷԱՃԱՊՁԲ-26/25 ծածկագրով սարքերի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ջերմային տպիչի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ՄԲԿ-ԷԱՃԱՊՁԲ-26/25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ՄԲԿ-ԷԱՃԱՊՁԲ-26/25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5 տարի
Լրակազմը պետք է ներառի սարքի աշխատանքի համար նախատեսված պարագաները և երաշխիքային կտրոնը։
MOXA NPort 5110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ջերմային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մմ x 30 մմ չափսի ինքնակպչուն պիտակների փաթեթ (roll)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հաշված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հաշված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հաշված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հաշված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ջերմային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