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ՀԳԴ-ԷԱՃԱՇՁԲ-26/1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դատախազություն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Վ. Սարգսյան 5</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դատախազության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15</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15</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Վիկտորիյա Մաշկովսկայա</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010511879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v.mashkovskaya@prosecutor.am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դատախազություն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ՀԳԴ-ԷԱՃԱՇՁԲ-26/1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դատախազություն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դատախազություն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դատախազության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դատախազություն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դատախազության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ՀԳԴ-ԷԱՃԱՇՁԲ-26/1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v.mashkovskaya@prosecutor.am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դատախազության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4.9073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446.28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2026.03.06.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ՀԳԴ-ԷԱՃԱՇՁԲ-26/1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ՀԳԴ-ԷԱՃԱՇՁԲ-26/1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«ՀԳԴ-ԷԱՃԱՇՁԲ-26/1»*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«ՀԳԴ-ԷԱՃԱՇՁԲ-26/1»*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^paymanagir:0^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Ձևաթուղթ/հրաման  ՀՀ գլխավոր դատախազի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միալեզու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հայերեն- 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հայերեն-անգլերեն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դատախազության գլխավոր քարտուղար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Որոշում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դատախազ ՀՀ գլխավոր դատախազի տեղակալ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կենտրոնական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երդման
A4 ձևաչափի, 4+0, 200գ/մ2, երկկողմանի կավճապատ, փայլուն, գունավոր ՀՀ զինանշաններով և դրոշով,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/ՀՀ դատախազության զինանշանով/
Երկկողմանի կազմը` Ֆեդրիկոն /կապույտ/,  300 գմ2, չափսը՝ 210x150մմ: 
Առջևի կազմի` արծաթագույն 3d դաջվածք(շտամպ) (1+0)-- ՀՀ դատախազության զինանշան : 
 Էջերը տպագրված, 80 գմ2 սպիտակ օվսեթ թղթից, (1+0)՝ 50 թերթ, մետաղական զսպանակով:
  Կատարողը պատվիրատուի հաստատմանն է ներկայացնում էլեկտրոնային նմուշը և 1 բնօրինակ:
Նոթատետրը՝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վարույթ
A3 ձևաչափի խրոմերզաց, միակողման 1+0, ձևաթուղթ (ՀՀ դատախազության Հսկողական վարույթ) 350գ/մ2 , մեկ ծալքով,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ռուսերեն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անգլերեն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ռուսերեն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անգլերեն
 Թուղթ ֆեդրիկոն 300 գմ2 չափսը՝ 320x450մմ, միջնամասում ծալքով (բիգովկա), ոսկեգույն դաջվածք,  համաձայն նմուշի։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 10000 հատ -մինչև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 10000հատ.-մինչև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