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ԿՄՆՀՀ ԷԱՃԾՁԲ26/12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Նոր Հաճնի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Տոռոզյան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 ձեռքբերում ԿՄՆՀՀ ԷԱՃԾՁԲ26/12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Աբալյան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+374 224 42550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abalyan.anush@mail.ru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Նոր Հաճնի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ԿՄՆՀՀ ԷԱՃԾՁԲ26/12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Նոր Հաճնի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Նոր Հաճնի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 ձեռքբերում ԿՄՆՀՀ ԷԱՃԾՁԲ26/12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Նոր Հաճնի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 ձեռքբերում ԿՄՆՀՀ ԷԱՃԾՁԲ26/12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ԿՄՆՀՀ ԷԱՃԾՁԲ26/12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abalyan.anush@mail.ru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 ձեռքբերում ԿՄՆՀՀ ԷԱՃԾՁԲ26/12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377.67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2026.03.03.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ԿՄՆՀՀ ԷԱՃԾՁԲ26/12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Նոր Հաճնի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ԿՄՆՀՀ ԷԱՃԾՁԲ26/12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ԿՄՆՀՀ ԷԱՃԾՁԲ26/12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«ԿՄՆՀՀ ԷԱՃԾՁԲ26/12»*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ԷԱՃԾՁԲ26/12*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«ԿՄՆՀՀ ԷԱՃԾՁԲ26/12»*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ԷԱՃԾՁԲ26/12*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ծառաայություններ  
տեխբնութագիրը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ներկայացրած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2026 թվականի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