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Գոսերելին (գոսերելինի ացետատ) 3.6մգ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Թեմոզոլոմիդ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Թեմոզոլոմիդ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Պալբոցիկլիբ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17971100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Տրաստուզումաբ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Օսիմերտինիբ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Սունիտինիբ (սունիտինիբի մալատ) 50մգ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Գոսերելին (գոսերելինի ացետատ) 3.6մգ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Գոսերելին (գոսերելինի ացետատ) 3.6մգ իմպլանտ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Թեմոզոլոմիդ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Թեմոզոլոմիդ 20մգ,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Թեմոզոլոմիդ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Թեմոզոլոմիդ 100մգ,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Պալբոցիկլիբ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Պալբոցիկլիբ 125մգ,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Տրաստուզումաբ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Տրաստուզումաբ 600մգ, լուծույթ ե/մ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Օսիմերտինիբ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Օսիմերտինիբ 80մգ,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Սունիտինիբ (սունիտինիբի մալատ)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Սունիտինիբ (սունիտինիբի մալատ) 50մգ դեղապատիճներ կոշտ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