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запастей систем автоматического управления и мониторинга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ԵՋԷԿ-ԷԱՃԱՊՁԲ-26/11</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запастей систем автоматического управления и мониторинга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запастей систем автоматического управления и мониторинга</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запастей систем автоматического управления и мониторинга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Производственное сетевое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дюйма 1920 x 10801 HDMI port (HDCP 1.4) (поддерживает до FHD 1920 x 1080 100 Гц, согласно HDMI 1.4), силовой кабель 1 x HDMI, кабель – 1,80 м 1 VGA port, 100-240 В пер. ток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ST373455SS для сервера PHD системы автоматического управления DCS (Part No. 51154700-100)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WD800HLFS для компьютеров операторского управления системы DCS Experion PKS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Cherokee International ACX631 2AREV.F для оборудований системы DCS Experion PKS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Kingston DC600M или Samsung PM893 или Intel/Solidigm D3-S4610 / S4510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Одностороннее входное напряжение – 85-264 В пер. тока
Одностороннее входное напряжение – 120-370 В пос. тока
Одностороннее выходное напряжение – 24 В пос. тока
Мощность – 48 Вт
Выходной ток – 2А
Контроль температуры и защита 
Температурная защита без использования охладителей
Защита корпуса и безопасность
Противоударный корпус, влагостойкий, обеспечивает защиту от короткого замыкания, защиту от перегрузки и от перенапряжения, встроенный фильтр для уменьшения помех, 100% испытание в условиях полноценной загрузки
Монтажная установка, выполнение для установки на рельсе DIN, обеспечивает легкое закрепление для TS35/7.5 или TS35/15 DIN-Rail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Производственное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Ethernet ряд, предусмотренный для использования в жесткой производственной среде. Порты и стандарты
Порты 10/100BaseT(X), которые используют соединители RJ45.
Оно подденрживает стандарты IEEE 802.3, 802.3u (100BaseT(X)) и 802.3x (для управления потока).
•	Режимы соединения – Порты RJ45 имеют функцию автоматического MDI/MDI-X соединения, и поддерживают режимы полный-/полудуплекс (Full/Half duplex mode)
Электрические параметры –
•	Рабочее напряжение Диапазон напряжения– 12-48 В пос. тока. Обычное входное напряжение – 24 В пос. тока
•	Защита
Поддерживается защита от обратной полярности (:
Защита от перегруженности тока составляет 1.1 A @ 24В пос. тока
•	Соединение
Питание соединяется с помощью 1 передвижного 3-контактного терминала-блока
Ограничения физической и окружающей среды
•	Степень защиты IP30
Выключатели могут легко устанавливаться на DIN-рельсе
Надежность – составляет 3.915.945 часов
Поставляемые товары должны быть новыми и неиспользованными. предъявите сертификат соответствия и гарантийный срок на продукт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Производственное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