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ԵՄ-ԷԱՃԱՊՁԲ-26/14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2026.02.18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ԵՄ-ԷԱՃԱՊՁԲ-26/14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ԵՄ-ԷԱՃԱՊՁԲ-26/14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ԵՄ-ԷԱՃԱՊՁԲ-26/14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И-20А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KC-19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ТАП-15В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10W40 (дизель)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И-20А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20799-88.
Кинематическая вязкость при 40 С 28,0-35,0 мм2/с.
Температура замерзания (застывания), не выше -15 С.
Температура воспламенения в открытом тигле не ниже 220 С.
Плотность при 20 С, не более 890 кг/м3.
Кислотное число, не более 0,03 мг КОН/г
Серость, не более 0,005%
Диапазон рабочих температур от -15С до +35С"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20799-88.
Кинематическая вязкость при 40 С 61,0-75,0 мм2/с.
Температура замерзания (застывания), не выше -15 С.
Температура воспламенения в открытом тигле не ниже 220 С.
Плотность при 20 С, не более 900 кг/м3.
Кислотное число, не более 0,05 мг КОН/г
Серость, не более 0,005%
Диапазон рабочих температур от -15С до +40С"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KC-19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9243-75.
Масло компрессорное KC-19,  должно поставляться в герметичной пластиковой таре емкостью 10 или 20 литров. Упаковка должны иметь заводские отметки на поставляемый продукт, иметь соответствующие сертификаты, российского производства или аналогичный.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ТАП-15В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ТАП-15В ГОСТ 23652-79.
Масло должно поставляться в герметичных пластиковых или металлических емкостях, емкостью 10, 20, 50, 100, 200 литров.Упаковка должны иметь заводские отметки на поставляемый продукт, иметь соответствующие сертификаты, российского производства или аналогичный.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10W40 (дизель)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10W40 ГОСТ 17479.1-85 для бензинового двигателя
Масло должно поставляться в герметичных пластиковых или металлических емкостях, емкостью 10, 20, 50, 100, 200 литров. Упаковка должны иметь заводские отметки на поставляемый продукт, иметь соответствующие сертификаты, российского производства или аналогичный.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1-13 ТУ 38.40158142-95
Должна поставляться в герметичной пластиковой или металлической таре емкостью 10, 20, 50, 200 литров. Упаковка должны иметь заводские отметки на поставляемый продукт, иметь соответствующие сертификаты, российского производства или аналогичный.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4366-76.
Смазка Солидол синтетический, должна поставляться в пластиковой или металлической таре емкостью от 10 до 50 литров. Упаковка должны иметь заводские отметки на поставляемый продукт, иметь соответствующие сертификаты, российского производства или аналогичный.
Товар должен быть новым, неиспользованным, перевозка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