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2026.02.20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ԵՊՀ-ԷԱՃԱՇՁԲ-26/43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060710009, 060710013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ԵՊՀ-ԷԱՃԱՇՁԲ-26/43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2026.02.20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ԵՊՀ-ԷԱՃԱՇՁԲ-26/43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376.94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4.9183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444.34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2026.03.05.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ԵՊՀ-ԷԱՃԱՇՁԲ-26/43</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ԵՊՀ-ԷԱՃԱՇՁԲ-26/43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«ԵՊՀ-ԷԱՃԱՇՁԲ-26/43»*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ԵՊՀ-ԷԱՃԱՇՁԲ-26/43*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«ԵՊՀ-ԷԱՃԱՇՁԲ-26/43»*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ԵՊՀ-ԷԱՃԱՇՁԲ-26/43*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ՈՒԽ</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չափի, կոշտ մուգ կապույտ կազմով, կազմի վրա A5 չափի գունավոր տպագրությամբ, միջուկը՝ տպագրված սև և սպիտակ, զսպանակով, 40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սեղմակավոր, սպիտակ գույն, 10-12 մմ տրամագծով, 13-16 սմ երկարությամբ, կապույտ միջուկով, «ԵՊՀ ուսանողական խորհուրդ» գրառմամբ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 երկարությամբ, 4 մ լայնությամբ լոգոյի տպագրություն, ստենդով, rollup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 լուսանկարչական թուղթ, գունավոր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 պլաստմասե, ռեզինե ամրակով, մուգ կապույտ գույն, միակողմանի գունավոր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լոգոյի տպագրությամբ, 1մետր լայնությամբ, 2մետր երկարություն, դրոշակաձողով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ապրիլ-մայիս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ապրիլ-մայիս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ապրիլ-մայիս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ապրիլ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ապրիլ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ապրիլ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