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ընդհանուր կարիքների համար քիմիական ռեակտիվների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ընդհանուր կարիքների համար քիմիական ռեակտիվների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ընդհանուր կարիքների համար քիմիական ռեակտիվների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ընդհանուր կարիքների համար քիմիական ռեակտիվների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CH2CL2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Մետաֆոսֆորական թթու,  HPO3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E սերտիֆիկացված ռեֆերենս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լՏետրացիկլին սերտիֆիկացված ռեֆերենս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սերտիֆիկացված ռեֆերենս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0,45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0,2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ներարկման, մուգ ապակյա,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 հավանգակոթ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Ֆարմացիայի ինստիտուտի ընդհանուր կարիքների համար քիմիական ռեակտիվների գնում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CH2CL2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Մետաֆոսֆորական թթու,  HPO3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E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լՏետրացիկլին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0,45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0,2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ներարկման, մուգ ապակյա,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 հավանգակոթ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CH2CL2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Մետաֆոսֆորական թթու,  HPO3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E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լՏետրացիկլին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սերտիֆիկացված ռեֆերենս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0,45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Ֆիլտրներ 0,2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ներարկման, մուգ ապակյա,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Ավտեպիպետի ծայրակալ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 հավանգակոթ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