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2026.02.24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ԵՋԷԿ-ԷԱՃԱՊՁԲ-26/14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Փարսադանյան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parsadanyannarine@mail.ru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ԵՋԷԿ-ԷԱՃԱՊՁԲ-26/14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2026.02.24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ԵՋԷԿ-ԷԱՃԱՊՁԲ-26/14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parsadanyannarine@mail.ru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376.97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444.71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2026.03.10.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ԵՋԷԿ-ԷԱՃԱՊՁԲ-26/14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ԵՋԷԿ-ԷԱՃԱՊՁԲ-26/14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«ԵՋԷԿ-ԷԱՃԱՊՁԲ-26/14»*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«ԵՋԷԿ-ԷԱՃԱՊՁԲ-26/14»*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պատվիրատուն վճարումը կատարում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10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45-ից մինչև 100 կՊա, կապարի պարունակությունը 5 մգ/դմ3-ից ոչ ավելի, բենզոլի ծավալային մասը 1 %-ից ոչ ավելի, խտությունը՝ 150 ջերմաստիճանում 720-ից մինչև 775 կգ/մ3, ծծմբի պարունակությունր՝ 10 մգ/կգ-ից ոչ ավելի, թթվածնի զանգվածային մասը՝ 2,7 %-ից ոչ ավելի, օքսիդիչների ծավալային մասը, ոչ ավելի՝ մեթանոլ-3 %, էթանոլ-5 %, իզոպրոպի լսպիրտ-10%, իզոբուտիլ սպիրտ-10 %, եռաբութիլ սպիրտ-7 %, եթերներ (C5 և ավելի)–15 %, այլ օքսիդիչներ– 10 %, անվտանգությունը, մակնշումը և փաթեթավորումը՝ ըստ ՀՀ կառավարության 2004թ. նոյեմբերի 11-ի N1592 Ն որոշմամբ հասtաաված «Ներքին այրման շարժիչային վառելիքների տեխնիկական կանոնակարգի»:Մատակարարումը՝ կտրոնային:
ք. Երևանում առնվազն 3 բենզալցկայանների առակայությունը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ու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150C ջերմաստիճանում 720-ից մինչև 775 կգ/մ3, ծծմբի պարունակությունր՝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 10 %, անվտանգությունը, մակնշումը և փաթեթավորումը՝ ըստ ՀՀ կառավարության 2004թ. նոյեմբերի 11-ի  № 1592 Ն որոշմամբ հասաաաված «Ներքին այրման շարժիչային վառելիքների տեխնիկական կանոնակարգի»:
Մատակարարումը՝ կտրոնային:
ք. Երևանում առնվազն 3 բենզալցկայանների առակայությունը պարտադիր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Արին-Բերդի 3-րդ նրբ., թիվ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