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2026.02.24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ՍՄԳԲԿ-ԷԱՃԱՊՁԲ-26/16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ГОРИСИ БЖШКАКАН КЕНТРОН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г.Горис, ул. Татаеваци 31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компьютеров для нужд ЗАО «Горисский медицинский центр».</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Карине Торозян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info@gorismc.am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(284)22152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ГОРИСИ БЖШКАКАН КЕНТРОН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ՍՄԳԲԿ-ԷԱՃԱՊՁԲ-26/16</w:t>
      </w:r>
      <w:r w:rsidRPr="00E4651F">
        <w:rPr>
          <w:rFonts w:asciiTheme="minorHAnsi" w:hAnsiTheme="minorHAnsi" w:cstheme="minorHAnsi"/>
          <w:i/>
        </w:rPr>
        <w:br/>
      </w:r>
      <w:r w:rsidR="00A419E4" w:rsidRPr="00E4651F">
        <w:rPr>
          <w:rFonts w:asciiTheme="minorHAnsi" w:hAnsiTheme="minorHAnsi" w:cstheme="minorHAnsi"/>
          <w:szCs w:val="20"/>
          <w:lang w:val="af-ZA"/>
        </w:rPr>
        <w:t>2026.02.24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ГОРИСИ БЖШКАКАН КЕНТРОН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ГОРИСИ БЖШКАКАН КЕНТРОН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компьютеров для нужд ЗАО «Горисский медицинский центр».</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компьютеров для нужд ЗАО «Горисский медицинский центр».</w:t>
      </w:r>
      <w:r w:rsidR="00812F10" w:rsidRPr="00E4651F">
        <w:rPr>
          <w:rFonts w:cstheme="minorHAnsi"/>
          <w:b/>
          <w:lang w:val="ru-RU"/>
        </w:rPr>
        <w:t xml:space="preserve">ДЛЯ НУЖД </w:t>
      </w:r>
      <w:r w:rsidR="0039665E" w:rsidRPr="0039665E">
        <w:rPr>
          <w:rFonts w:cstheme="minorHAnsi"/>
          <w:b/>
          <w:u w:val="single"/>
          <w:lang w:val="af-ZA"/>
        </w:rPr>
        <w:t>ГОРИСИ БЖШКАКАН КЕНТРОН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ՍՄԳԲԿ-ԷԱՃԱՊՁԲ-26/16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info@gorismc.am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компьютеров для нужд ЗАО «Горисский медицинский центр».</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4.9</w:t>
      </w:r>
      <w:r>
        <w:rPr>
          <w:rFonts w:ascii="Calibri" w:hAnsi="Calibri" w:cstheme="minorHAnsi"/>
          <w:szCs w:val="22"/>
        </w:rPr>
        <w:t xml:space="preserve"> драмом, евро </w:t>
      </w:r>
      <w:r>
        <w:rPr>
          <w:rFonts w:ascii="Calibri" w:hAnsi="Calibri" w:cstheme="minorHAnsi"/>
          <w:lang w:val="af-ZA"/>
        </w:rPr>
        <w:t>447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ՍՄԳԲԿ-ԷԱՃԱՊՁԲ-26/16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ГОРИСИ БЖШКАКАН КЕНТРОН ЗАО</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ՍՄԳԲԿ-ԷԱՃԱՊՁԲ-26/16</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ՍՄԳԲԿ-ԷԱՃԱՊՁԲ-26/16</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"ՍՄԳԲԿ-ԷԱՃԱՊՁԲ-26/16"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ГОРИСИ БЖШКАКАН КЕНТРОН ЗАО*(далее — Заказчик) процедуре закупок под кодом ՍՄԳԲԿ-ԷԱՃԱՊՁԲ-26/16*.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"ՍՄԳԲԿ-ԷԱՃԱՊՁԲ-26/16"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ГОРИСИ БЖШКАКАН КЕНТРОН ЗАО*(далее — Заказчик) процедуре закупок под кодом ՍՄԳԲԿ-ԷԱՃԱՊՁԲ-26/16*.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ՍՄԳԲԿ-ԷԱՃԱՊՁԲ-26/16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12рабочих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как минимум Intel Core i3 10100, базовая частота не менее 3,6 ГГц, память не менее 4 МБ (кэш): ОЗУ не менее 8 ГБ, 2666 МГц DDR4: Внутренний жесткий диск (SSD) не менее 120 ГБ M.2 NVMe PCIe: Видеокарта: интегрированная в материнскую плату, Intel UHD Graphics: Звуковое оборудование: интегрированная звуковая карта. Блок питания (БП): не менее 450 Вт: Экран: диагональ полезной области не менее 19 дюймов, разрешение не менее 1920*1080, яркость не менее 250 нит, все кабели питания должны входить в комплект. Возможности внешнего подключения: как минимум 1*VGA, 1*HDMI видеопорт, 2*USB 3.2 Gen Type-A, 4*USB 2.0 Type-A, 1*универсальный аудиоразъем (на передней панели), порт RJ-45 10/100/1000 Мбит/с. Клавиатура: заводские английские и русские шрифты, совместимая с MS Windows, мышь: компьютерная, блок питания USB.
Все товары должны быть новыми, неиспользованными, заводского изготовления.
Гарантийный срок на компьютер и монитор составляет не менее 1 года. Поставщик должен за свой счет практически доказать покупателю, что все поставленные компоненты находятся в исправном состоянии и работают безупречно. Подъем, доставка, транспортировка и разгрузка осуществляются за счет поставщика (то же самое относится и к случаям гарантийного обслуживания).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максимум 30 календарных дней с даты предоставления соответствующих финансовых ресурсов и подписания соглашения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