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ԱՐԶՆԻՀ-ԷԱՃ-2026/2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Արզնիի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5-րդ փող.,1-ին նրբ. թիվ6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Արզնի համայնքի կարիքների համար սեղմված բնական գազի ձեռքբերում՝ ԱՐԶՆԻՀ-ԷԱՃ-2026/2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 Մովսիսյան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(0222)94880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mari.movsisyan@gmail.com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Արզնիի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ԱՐԶՆԻՀ-ԷԱՃ-2026/2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Արզնիի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Արզնիի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Արզնի համայնքի կարիքների համար սեղմված բնական գազի ձեռքբերում՝ ԱՐԶՆԻՀ-ԷԱՃ-2026/2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Արզնիի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Արզնի համայնքի կարիքների համար սեղմված բնական գազի ձեռքբերում՝ ԱՐԶՆԻՀ-ԷԱՃ-2026/2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ԱՐԶՆԻՀ-ԷԱՃ-2026/2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mari.movsisyan@gmail.com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Արզնի համայնքի կարիքների համար սեղմված բնական գազի ձեռքբերում՝ ԱՐԶՆԻՀ-ԷԱՃ-2026/2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12:50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Արզնիի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ԱՐԶՆԻՀ-ԷԱՃ-2026/2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ԱՐԶՆԻՀ-ԷԱՃ-2026/2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«ԱՐԶՆԻՀ-ԷԱՃ-2026/2»*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Արզնիի համայնքապետարան*  (այսուհետ` Պատվիրատու) կողմից կազմակերպված` ԱՐԶՆԻՀ-ԷԱՃ-2026/2*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Արզնիի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«ԱՐԶՆԻՀ-ԷԱՃ-2026/2»*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Արզնիի համայնքապետարան*  (այսուհետ` Պատվիրատու) կողմից կազմակերպված` ԱՐԶՆԻՀ-ԷԱՃ-2026/2*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Արզնիի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համապատասխանում է ԱԳԼՃԿ-ի և լիցքավորվող գազագլանոթային միջոցների տեխնիկական պայմաններին և չի գերազանցում 19.6 ՄՊա ճնշման սահմանը, գլանոթ լիցքավորվող  գազի ջերմաստիճանը կարող է բարձր լինել շրջապատող միջավայրի ջերմաստիճանից ոչ ավել, քան 15ºC, ստանդարտը` ԳՕՍՏ 27577-87,պայմանական նշանները` «Վախենում է կրակից», անվտանգությունը` հրավտանգ, պայթունավտանգ, մատակարարումը` կտրոնային, Արզնի համայնքի հարակից գազալցակայաններից: Լցակայանի  ելքը և մուտքը պետք է լինեն  անվտանգ,  համաձայն երթևեկության կանոնների պահանջներին:
Գազալցակայանի առկայություն Արզնի համայնքից առավելագույնը 3կմ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Արզնի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