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230F14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993C3D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993C3D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993C3D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759D">
        <w:rPr>
          <w:rFonts w:ascii="GHEA Grapalat" w:hAnsi="GHEA Grapalat"/>
          <w:b/>
          <w:sz w:val="24"/>
          <w:szCs w:val="24"/>
          <w:lang w:val="af-ZA"/>
        </w:rPr>
        <w:t>2026 թվականի փետրվարի 26</w:t>
      </w:r>
      <w:r w:rsidR="00FB14B2">
        <w:rPr>
          <w:rFonts w:ascii="GHEA Grapalat" w:hAnsi="GHEA Grapalat"/>
          <w:b/>
          <w:sz w:val="24"/>
          <w:szCs w:val="24"/>
          <w:lang w:val="af-ZA"/>
        </w:rPr>
        <w:t xml:space="preserve">-ի թիվ 2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>“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93C3D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Pr="00993C3D" w:rsidRDefault="00C14C7B" w:rsidP="00230F14">
      <w:pPr>
        <w:pStyle w:val="Heading3"/>
        <w:spacing w:line="240" w:lineRule="auto"/>
        <w:rPr>
          <w:rFonts w:ascii="GHEA Grapalat" w:hAnsi="GHEA Grapalat"/>
          <w:b/>
          <w:lang w:val="af-ZA"/>
        </w:rPr>
      </w:pPr>
    </w:p>
    <w:p w:rsidR="00C14C7B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993C3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993C3D">
        <w:rPr>
          <w:rFonts w:ascii="GHEA Grapalat" w:hAnsi="GHEA Grapalat"/>
          <w:b/>
          <w:sz w:val="24"/>
          <w:szCs w:val="24"/>
          <w:lang w:val="en-US"/>
        </w:rPr>
        <w:t>ԵՊՀ</w:t>
      </w:r>
      <w:r w:rsidR="004D15E5" w:rsidRPr="00993C3D">
        <w:rPr>
          <w:rFonts w:ascii="GHEA Grapalat" w:hAnsi="GHEA Grapalat"/>
          <w:b/>
          <w:sz w:val="24"/>
          <w:szCs w:val="24"/>
          <w:lang w:val="af-ZA"/>
        </w:rPr>
        <w:t>-</w:t>
      </w:r>
      <w:r w:rsidR="004D15E5" w:rsidRPr="00993C3D">
        <w:rPr>
          <w:rFonts w:ascii="GHEA Grapalat" w:hAnsi="GHEA Grapalat"/>
          <w:b/>
          <w:sz w:val="24"/>
          <w:szCs w:val="24"/>
          <w:lang w:val="en-US"/>
        </w:rPr>
        <w:t>ԷԱՃԱՊՁԲ</w:t>
      </w:r>
      <w:r w:rsidR="004D15E5" w:rsidRPr="00993C3D">
        <w:rPr>
          <w:rFonts w:ascii="GHEA Grapalat" w:hAnsi="GHEA Grapalat"/>
          <w:b/>
          <w:sz w:val="24"/>
          <w:szCs w:val="24"/>
          <w:lang w:val="af-ZA"/>
        </w:rPr>
        <w:t>-</w:t>
      </w:r>
      <w:r w:rsidR="00D4759D">
        <w:rPr>
          <w:rFonts w:ascii="GHEA Grapalat" w:hAnsi="GHEA Grapalat"/>
          <w:b/>
          <w:sz w:val="24"/>
          <w:szCs w:val="24"/>
          <w:lang w:val="af-ZA"/>
        </w:rPr>
        <w:t>26/45</w:t>
      </w:r>
    </w:p>
    <w:p w:rsidR="00F64665" w:rsidRPr="00F64665" w:rsidRDefault="00F64665" w:rsidP="00F64665">
      <w:pPr>
        <w:rPr>
          <w:lang w:val="af-ZA" w:eastAsia="en-US"/>
        </w:rPr>
      </w:pPr>
    </w:p>
    <w:p w:rsidR="00C14C7B" w:rsidRPr="00993C3D" w:rsidRDefault="00C14C7B" w:rsidP="00230F14">
      <w:pPr>
        <w:rPr>
          <w:lang w:val="af-ZA"/>
        </w:rPr>
      </w:pPr>
    </w:p>
    <w:p w:rsidR="00C14C7B" w:rsidRPr="00993C3D" w:rsidRDefault="00D4759D" w:rsidP="00230F14">
      <w:pPr>
        <w:pStyle w:val="Heading3"/>
        <w:spacing w:line="240" w:lineRule="auto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ԵՊՀ հիմնադրամի կարիքների համար</w:t>
      </w:r>
      <w:r w:rsidR="00FB14B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 xml:space="preserve">կազմակերպված </w:t>
      </w:r>
      <w:r w:rsidR="004D15E5" w:rsidRPr="00993C3D">
        <w:rPr>
          <w:rFonts w:ascii="GHEA Grapalat" w:hAnsi="GHEA Grapalat"/>
          <w:b/>
          <w:i w:val="0"/>
          <w:sz w:val="24"/>
          <w:szCs w:val="24"/>
          <w:lang w:val="en-US"/>
        </w:rPr>
        <w:t>ԵՊՀ</w:t>
      </w:r>
      <w:r w:rsidR="004D15E5" w:rsidRPr="00993C3D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="004D15E5" w:rsidRPr="00993C3D">
        <w:rPr>
          <w:rFonts w:ascii="GHEA Grapalat" w:hAnsi="GHEA Grapalat"/>
          <w:b/>
          <w:i w:val="0"/>
          <w:sz w:val="24"/>
          <w:szCs w:val="24"/>
          <w:lang w:val="en-US"/>
        </w:rPr>
        <w:t>ԷԱՃԱՊՁԲ</w:t>
      </w:r>
      <w:r w:rsidR="004D15E5" w:rsidRPr="00993C3D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>
        <w:rPr>
          <w:rFonts w:ascii="GHEA Grapalat" w:hAnsi="GHEA Grapalat"/>
          <w:b/>
          <w:i w:val="0"/>
          <w:sz w:val="24"/>
          <w:szCs w:val="24"/>
          <w:lang w:val="af-ZA"/>
        </w:rPr>
        <w:t>26/45</w:t>
      </w:r>
      <w:r w:rsidR="004D15E5" w:rsidRPr="00993C3D"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993C3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993C3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9144DA" w:rsidRDefault="00C14C7B" w:rsidP="00230F14">
      <w:pPr>
        <w:ind w:firstLine="709"/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="00114557" w:rsidRPr="00993C3D">
        <w:rPr>
          <w:rFonts w:ascii="GHEA Grapalat" w:hAnsi="GHEA Grapalat"/>
          <w:sz w:val="22"/>
          <w:szCs w:val="22"/>
          <w:u w:val="single"/>
          <w:lang w:val="af-ZA"/>
        </w:rPr>
        <w:t>՝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="009A23A4"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D4759D">
        <w:rPr>
          <w:rFonts w:ascii="GHEA Grapalat" w:hAnsi="GHEA Grapalat"/>
          <w:b/>
          <w:sz w:val="22"/>
          <w:szCs w:val="22"/>
          <w:lang w:val="af-ZA"/>
        </w:rPr>
        <w:t>9</w:t>
      </w:r>
      <w:r w:rsidR="008C7202" w:rsidRPr="009144DA">
        <w:rPr>
          <w:rFonts w:ascii="GHEA Grapalat" w:hAnsi="GHEA Grapalat"/>
          <w:b/>
          <w:sz w:val="22"/>
          <w:szCs w:val="22"/>
          <w:lang w:val="af-ZA"/>
        </w:rPr>
        <w:t xml:space="preserve">-րդ </w:t>
      </w:r>
      <w:r w:rsidR="00D4759D">
        <w:rPr>
          <w:rFonts w:ascii="GHEA Grapalat" w:hAnsi="GHEA Grapalat"/>
          <w:b/>
          <w:sz w:val="22"/>
          <w:szCs w:val="22"/>
          <w:lang w:val="af-ZA"/>
        </w:rPr>
        <w:t>և 10-րդ չափաբաժ</w:t>
      </w:r>
      <w:r w:rsidR="00B162D2" w:rsidRPr="009144DA">
        <w:rPr>
          <w:rFonts w:ascii="GHEA Grapalat" w:hAnsi="GHEA Grapalat"/>
          <w:b/>
          <w:sz w:val="22"/>
          <w:szCs w:val="22"/>
          <w:lang w:val="af-ZA"/>
        </w:rPr>
        <w:t>ի</w:t>
      </w:r>
      <w:r w:rsidR="00D4759D">
        <w:rPr>
          <w:rFonts w:ascii="GHEA Grapalat" w:hAnsi="GHEA Grapalat"/>
          <w:b/>
          <w:sz w:val="22"/>
          <w:szCs w:val="22"/>
          <w:lang w:val="af-ZA"/>
        </w:rPr>
        <w:t>նների</w:t>
      </w:r>
      <w:r w:rsidR="009A23A4" w:rsidRPr="009144DA"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Pr="009144DA">
        <w:rPr>
          <w:rFonts w:ascii="GHEA Grapalat" w:hAnsi="GHEA Grapalat"/>
          <w:b/>
          <w:sz w:val="22"/>
          <w:szCs w:val="22"/>
          <w:lang w:val="af-ZA"/>
        </w:rPr>
        <w:t>տեխնիկական բնութագր</w:t>
      </w:r>
      <w:r w:rsidR="00CD7F49" w:rsidRPr="009144DA">
        <w:rPr>
          <w:rFonts w:ascii="GHEA Grapalat" w:hAnsi="GHEA Grapalat"/>
          <w:b/>
          <w:sz w:val="22"/>
          <w:szCs w:val="22"/>
          <w:lang w:val="af-ZA"/>
        </w:rPr>
        <w:t>եր</w:t>
      </w:r>
      <w:r w:rsidRPr="009144DA">
        <w:rPr>
          <w:rFonts w:ascii="GHEA Grapalat" w:hAnsi="GHEA Grapalat"/>
          <w:b/>
          <w:sz w:val="22"/>
          <w:szCs w:val="22"/>
          <w:lang w:val="af-ZA"/>
        </w:rPr>
        <w:t>ում փոփոխություն կատարելու անհրաժեշտություն</w:t>
      </w:r>
      <w:r w:rsidR="00C33553" w:rsidRPr="009144DA">
        <w:rPr>
          <w:rFonts w:ascii="GHEA Grapalat" w:hAnsi="GHEA Grapalat"/>
          <w:b/>
          <w:sz w:val="22"/>
          <w:szCs w:val="22"/>
          <w:lang w:val="af-ZA"/>
        </w:rPr>
        <w:t>.</w:t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9144DA">
        <w:rPr>
          <w:rFonts w:ascii="GHEA Grapalat" w:hAnsi="GHEA Grapalat" w:cs="Sylfaen"/>
          <w:b/>
          <w:sz w:val="22"/>
          <w:szCs w:val="22"/>
          <w:lang w:val="af-ZA"/>
        </w:rPr>
        <w:tab/>
        <w:t xml:space="preserve">    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="00114557" w:rsidRPr="00993C3D">
        <w:rPr>
          <w:rFonts w:ascii="GHEA Grapalat" w:hAnsi="GHEA Grapalat" w:cs="Sylfaen"/>
          <w:sz w:val="22"/>
          <w:szCs w:val="22"/>
          <w:lang w:val="af-ZA"/>
        </w:rPr>
        <w:t>՝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 w:rsidRPr="00993C3D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</w:t>
      </w:r>
      <w:r w:rsidR="00C133BC" w:rsidRPr="00993C3D">
        <w:rPr>
          <w:rFonts w:ascii="GHEA Grapalat" w:hAnsi="GHEA Grapalat" w:cs="Sylfaen"/>
          <w:sz w:val="22"/>
          <w:szCs w:val="22"/>
          <w:lang w:val="af-ZA"/>
        </w:rPr>
        <w:t>եր</w:t>
      </w:r>
      <w:r w:rsidRPr="00993C3D">
        <w:rPr>
          <w:rFonts w:ascii="GHEA Grapalat" w:hAnsi="GHEA Grapalat" w:cs="Sylfaen"/>
          <w:sz w:val="22"/>
          <w:szCs w:val="22"/>
          <w:lang w:val="af-ZA"/>
        </w:rPr>
        <w:t xml:space="preserve">ով սահմանվել </w:t>
      </w:r>
      <w:r w:rsidR="00FA01C1" w:rsidRPr="00993C3D">
        <w:rPr>
          <w:rFonts w:ascii="GHEA Grapalat" w:hAnsi="GHEA Grapalat" w:cs="Sylfaen"/>
          <w:sz w:val="22"/>
          <w:szCs w:val="22"/>
          <w:lang w:val="hy-AM"/>
        </w:rPr>
        <w:t>են.</w:t>
      </w:r>
    </w:p>
    <w:p w:rsidR="009A23A4" w:rsidRDefault="009A23A4" w:rsidP="00230F14">
      <w:pPr>
        <w:jc w:val="both"/>
        <w:rPr>
          <w:rFonts w:ascii="GHEA Grapalat" w:hAnsi="GHEA Grapalat" w:cs="Sylfaen"/>
          <w:sz w:val="24"/>
          <w:szCs w:val="22"/>
          <w:lang w:val="hy-AM"/>
        </w:rPr>
      </w:pPr>
    </w:p>
    <w:p w:rsidR="00F64665" w:rsidRPr="00993C3D" w:rsidRDefault="00F64665" w:rsidP="00230F14">
      <w:pPr>
        <w:jc w:val="both"/>
        <w:rPr>
          <w:rFonts w:ascii="GHEA Grapalat" w:hAnsi="GHEA Grapalat" w:cs="Sylfaen"/>
          <w:sz w:val="24"/>
          <w:szCs w:val="22"/>
          <w:lang w:val="hy-AM"/>
        </w:rPr>
      </w:pPr>
    </w:p>
    <w:p w:rsidR="009A23A4" w:rsidRPr="00993C3D" w:rsidRDefault="009A23A4" w:rsidP="00230F14">
      <w:pPr>
        <w:jc w:val="center"/>
        <w:rPr>
          <w:rFonts w:ascii="GHEA Grapalat" w:hAnsi="GHEA Grapalat" w:cs="Arial"/>
          <w:b/>
          <w:sz w:val="22"/>
          <w:szCs w:val="24"/>
          <w:lang w:val="hy-AM"/>
        </w:rPr>
      </w:pPr>
      <w:r w:rsidRPr="00993C3D">
        <w:rPr>
          <w:rFonts w:ascii="GHEA Grapalat" w:hAnsi="GHEA Grapalat" w:cs="Arial"/>
          <w:b/>
          <w:sz w:val="22"/>
          <w:szCs w:val="24"/>
          <w:lang w:val="hy-AM"/>
        </w:rPr>
        <w:t xml:space="preserve">ՀԻՆ ՏԵԽՆԻԿԱԿԱՆ ԲՆՈՒԹԱԳԻՐ </w:t>
      </w:r>
    </w:p>
    <w:tbl>
      <w:tblPr>
        <w:tblW w:w="14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0"/>
        <w:gridCol w:w="7395"/>
        <w:gridCol w:w="992"/>
        <w:gridCol w:w="1276"/>
      </w:tblGrid>
      <w:tr w:rsidR="007F6CFB" w:rsidRPr="00993C3D" w:rsidTr="00341CB9">
        <w:trPr>
          <w:trHeight w:val="504"/>
          <w:jc w:val="center"/>
        </w:trPr>
        <w:tc>
          <w:tcPr>
            <w:tcW w:w="1560" w:type="dxa"/>
            <w:vMerge w:val="restart"/>
          </w:tcPr>
          <w:p w:rsidR="007F6CFB" w:rsidRPr="00993C3D" w:rsidRDefault="007F6CFB" w:rsidP="00341C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3C3D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830" w:type="dxa"/>
            <w:vMerge w:val="restart"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395" w:type="dxa"/>
            <w:vMerge w:val="restart"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7F6CFB" w:rsidRPr="00993C3D" w:rsidTr="00341CB9">
        <w:trPr>
          <w:trHeight w:val="460"/>
          <w:jc w:val="center"/>
        </w:trPr>
        <w:tc>
          <w:tcPr>
            <w:tcW w:w="1560" w:type="dxa"/>
            <w:vMerge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95" w:type="dxa"/>
            <w:vMerge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F6CFB" w:rsidRPr="00993C3D" w:rsidRDefault="007F6CFB" w:rsidP="00341C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41CB9" w:rsidRPr="00993C3D" w:rsidTr="00341CB9">
        <w:trPr>
          <w:trHeight w:val="460"/>
          <w:jc w:val="center"/>
        </w:trPr>
        <w:tc>
          <w:tcPr>
            <w:tcW w:w="1560" w:type="dxa"/>
          </w:tcPr>
          <w:p w:rsidR="00341CB9" w:rsidRPr="002B268D" w:rsidRDefault="00341CB9" w:rsidP="00341CB9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9</w:t>
            </w:r>
          </w:p>
        </w:tc>
        <w:tc>
          <w:tcPr>
            <w:tcW w:w="2830" w:type="dxa"/>
          </w:tcPr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Aptos" w:hAnsi="GHEA Grapalat" w:cs="Aptos"/>
                <w:sz w:val="18"/>
                <w:szCs w:val="18"/>
                <w:lang w:val="hy"/>
              </w:rPr>
              <w:t>Համակարգչային թվային կառավարմամբ հաստոց</w:t>
            </w:r>
          </w:p>
        </w:tc>
        <w:tc>
          <w:tcPr>
            <w:tcW w:w="7395" w:type="dxa"/>
          </w:tcPr>
          <w:p w:rsidR="00341CB9" w:rsidRDefault="00341CB9" w:rsidP="00341CB9">
            <w:pPr>
              <w:jc w:val="center"/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Համակարգչային թվային կառավարմամբ հաստոց, որը պետք է ապահովի աշխատանքային մակերևույթի մակերես՝ 40x40սմ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vertAlign w:val="superscript"/>
                <w:lang w:val="hy-AM"/>
              </w:rPr>
              <w:t>2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կամ 40x60սմ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vertAlign w:val="superscript"/>
                <w:lang w:val="hy-AM"/>
              </w:rPr>
              <w:t>2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, և աշխատանքային ծավալ՝ 40x30x13սմ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vertAlign w:val="superscript"/>
                <w:lang w:val="hy-AM"/>
              </w:rPr>
              <w:t>3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կամ 40x60x13սմ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vertAlign w:val="superscript"/>
                <w:lang w:val="hy-AM"/>
              </w:rPr>
              <w:t>3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։  Պետք է համալրված լինի արդիականացված 65 մմ դիամետրով ֆրեզային գործիքով, 6 աստիճանի արագության կարգավորմամբ՝ 8000-24000 RPM, որը կապահովի 800 Վտ աշխատանքային հզորություն, որի արագության կարգավորումը կատարվում է ձեռքով պտտվող անջատիչով (ոչ ծրագրային կառավարվող), ինչպես նաև 1.5 կՎտ հզորությամբ ճշգրիտ իլով (spindle) որի կառավարումը կկատարվի ծրագրային։ Հաստոցի յուրաքանչյուր առանցքի շարժը պետք է ապահովվի ամուր և գերճշգրիտ երկակի կամ քառակի գծային ռելսերով և գնդիկային գծային առանցքակալներով պտուտակային ուղղորդիչների օգնությամբ: Յուրաքանչյուր առանցք (X, Y, Z) առնվազն պետք է հագեցված լինի HGH-15 տեսակի գծային ռելսերով և 1204 գնդիկային պտուտակային ուղղորդիչներով: Բարելավված X և Y առանցքների փոշուց պաշտպանություն։ Հաստոցը պետք է ներառի հետադարձ 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lastRenderedPageBreak/>
              <w:t>կապով և առանց քայլային շարժիչներ (hաստոցը պետք է համալրված լինի յուրաքանչյուր առանցքի համար առանց հետադարձ կապի և հետադարձ կապով քայլային շարժիչներով՝ Nema 23, Nema 24 կամ Nema 34 մոդելների, որոնք հնարավոր կլինի հեշտությամբ և հուսալի փոխարինել մեկը մյուսով), 4-րդ առանցք (պտտվող առանցք), Z առանցքով հարթակի տարբեր կետերում կոորդինատների ճշգրիտ չափման համակարգ (Touch Probe)։ Շարժիչները պետք է ապահովեն առնվազն 1.2Նմ պտտման մոմենտ։ Հաստոցը պետք է ունենա արտաքին հավելյալ սարքավորումների կցման հնարավորություններ՝ Լազերային փորագրիչ, 4-րդ առանցք (պտտվող առանցք), M07/M08 հովացման կառավարող համակարգ, հետադարձ կապով և առանց քայլային շարժիչներ, Z առանցքով հարթակի տարբեր կետերում կոորդինատների ճշգրիտ չափման համակարգ (Touch Probe)։ Կառավարման հանգույցը պետք է հիմնված լինի 32 բիթանոց ներկառուցված համակարգի վրա։ Կառավարումը պետք է տեղի ունենա ինչպես անմիջապես համակարգչի հետ տվյալների փոխանակմամբ, այլ նաև հեռահար, օրինակ՝ WIFI սարքավորման միջոցով։</w:t>
            </w:r>
          </w:p>
          <w:p w:rsidR="00341CB9" w:rsidRPr="005577BB" w:rsidRDefault="00341CB9" w:rsidP="00341CB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:rsidR="00341CB9" w:rsidRPr="005577BB" w:rsidRDefault="00341CB9" w:rsidP="00341CB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:rsidR="00341CB9" w:rsidRPr="00750432" w:rsidRDefault="00341CB9" w:rsidP="00341CB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76" w:type="dxa"/>
          </w:tcPr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  <w:tr w:rsidR="00341CB9" w:rsidRPr="00993C3D" w:rsidTr="00341CB9">
        <w:trPr>
          <w:trHeight w:val="460"/>
          <w:jc w:val="center"/>
        </w:trPr>
        <w:tc>
          <w:tcPr>
            <w:tcW w:w="1560" w:type="dxa"/>
          </w:tcPr>
          <w:p w:rsidR="00341CB9" w:rsidRPr="002B268D" w:rsidRDefault="00341CB9" w:rsidP="00341CB9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10</w:t>
            </w:r>
          </w:p>
        </w:tc>
        <w:tc>
          <w:tcPr>
            <w:tcW w:w="2830" w:type="dxa"/>
          </w:tcPr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GHEA Grapalat" w:hAnsi="GHEA Grapalat" w:cs="GHEA Grapalat"/>
                <w:sz w:val="18"/>
                <w:szCs w:val="18"/>
                <w:lang w:val="hy"/>
              </w:rPr>
              <w:t>Ինֆրակարմիր զոդման կայանք</w:t>
            </w:r>
          </w:p>
        </w:tc>
        <w:tc>
          <w:tcPr>
            <w:tcW w:w="7395" w:type="dxa"/>
          </w:tcPr>
          <w:p w:rsidR="00341CB9" w:rsidRDefault="00341CB9" w:rsidP="00341CB9">
            <w:pPr>
              <w:jc w:val="center"/>
              <w:rPr>
                <w:rFonts w:ascii="GHEA Grapalat" w:eastAsia="Aptos" w:hAnsi="GHEA Grapalat" w:cs="Aptos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Ինֆրակարմիր զոդման կայանք, որը պետք է համալրված լինի կետրոնացված ինֆրակարմիր տաքացման համակարգով, երեք գոտիներից բաղկացած կվարցային ինֆրակարմիր տաքացվող հարթակով, ինչպես նաև էլեկտրոնային կոմպոնենտների ավտոմատ կամ մեխանիկական հեռացման և/կամ տեղադրման մեխանիզմով։ Կայանքը պետք է ունենա հետադարձ կապով ճշգրիտ ջերմաստիճանային չափիչ համակարգ, ավտոմատ ջերմային գործընթացների վերահսկմամբ։ Համակարգը կարող է համալրված լինել օպտոէլեկտրական դիտման սարքավորումով, որը հնարավորություն կտա հետևել գործընթացին։ Կայանքը պետք է համալրված լինի պրոցեսի ընթացքում հարկադրական օդային սառ</w:t>
            </w:r>
            <w:r w:rsidRPr="00750432">
              <w:rPr>
                <w:rFonts w:ascii="GHEA Grapalat" w:eastAsia="Aptos" w:hAnsi="GHEA Grapalat" w:cs="Aptos"/>
                <w:sz w:val="18"/>
                <w:szCs w:val="18"/>
                <w:lang w:val="hy-AM"/>
              </w:rPr>
              <w:t>եցման համակարգով։</w:t>
            </w:r>
          </w:p>
          <w:p w:rsidR="00341CB9" w:rsidRPr="005577BB" w:rsidRDefault="00341CB9" w:rsidP="00341CB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:rsidR="00341CB9" w:rsidRPr="00750432" w:rsidRDefault="00341CB9" w:rsidP="00341CB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համաձայնեցնելով:</w:t>
            </w:r>
          </w:p>
        </w:tc>
        <w:tc>
          <w:tcPr>
            <w:tcW w:w="992" w:type="dxa"/>
          </w:tcPr>
          <w:p w:rsidR="00341CB9" w:rsidRPr="00750432" w:rsidRDefault="00341CB9" w:rsidP="00341CB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6" w:type="dxa"/>
          </w:tcPr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</w:tbl>
    <w:p w:rsidR="009A23A4" w:rsidRPr="00993C3D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b/>
          <w:lang w:val="af-ZA"/>
        </w:rPr>
      </w:pPr>
      <w:r w:rsidRPr="00993C3D">
        <w:rPr>
          <w:rFonts w:ascii="GHEA Grapalat" w:hAnsi="GHEA Grapalat"/>
          <w:b/>
          <w:lang w:val="hy-AM"/>
        </w:rPr>
        <w:t>Անհրաժեշտություն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է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առաջացել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գնման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ենթակա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ապրանքի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համար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սահմանել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նոր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տեխնիկական</w:t>
      </w:r>
      <w:r w:rsidRPr="00993C3D">
        <w:rPr>
          <w:rFonts w:ascii="GHEA Grapalat" w:hAnsi="GHEA Grapalat"/>
          <w:b/>
          <w:lang w:val="af-ZA"/>
        </w:rPr>
        <w:t xml:space="preserve"> </w:t>
      </w:r>
      <w:r w:rsidRPr="00993C3D">
        <w:rPr>
          <w:rFonts w:ascii="GHEA Grapalat" w:hAnsi="GHEA Grapalat"/>
          <w:b/>
          <w:lang w:val="hy-AM"/>
        </w:rPr>
        <w:t>բնութագրեր</w:t>
      </w:r>
      <w:r w:rsidRPr="00993C3D">
        <w:rPr>
          <w:rFonts w:ascii="GHEA Grapalat" w:hAnsi="GHEA Grapalat"/>
          <w:b/>
          <w:lang w:val="af-ZA"/>
        </w:rPr>
        <w:t xml:space="preserve">, </w:t>
      </w:r>
      <w:r w:rsidRPr="00993C3D">
        <w:rPr>
          <w:rFonts w:ascii="GHEA Grapalat" w:hAnsi="GHEA Grapalat"/>
          <w:b/>
          <w:lang w:val="hy-AM"/>
        </w:rPr>
        <w:t>որ</w:t>
      </w:r>
      <w:r w:rsidR="009A23A4" w:rsidRPr="00993C3D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Pr="00993C3D" w:rsidRDefault="009A23A4" w:rsidP="00230F1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93C3D">
        <w:rPr>
          <w:rFonts w:ascii="GHEA Grapalat" w:hAnsi="GHEA Grapalat" w:cs="Arial"/>
          <w:b/>
          <w:szCs w:val="24"/>
          <w:lang w:val="hy-AM"/>
        </w:rPr>
        <w:t xml:space="preserve">ՆՈՐ ՏԵԽՆԻԿԱԿԱՆ </w:t>
      </w:r>
      <w:r w:rsidR="003E432A" w:rsidRPr="00993C3D"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3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75"/>
        <w:gridCol w:w="8460"/>
        <w:gridCol w:w="1134"/>
        <w:gridCol w:w="1134"/>
      </w:tblGrid>
      <w:tr w:rsidR="00E36641" w:rsidRPr="00993C3D" w:rsidTr="00E36641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E36641" w:rsidRPr="00993C3D" w:rsidRDefault="00E36641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3C3D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675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460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93C3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3C3D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E36641" w:rsidRPr="00993C3D" w:rsidTr="00E36641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5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460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36641" w:rsidRPr="00993C3D" w:rsidRDefault="00E36641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41CB9" w:rsidRPr="00993C3D" w:rsidTr="00440084">
        <w:trPr>
          <w:trHeight w:val="460"/>
          <w:jc w:val="center"/>
        </w:trPr>
        <w:tc>
          <w:tcPr>
            <w:tcW w:w="1560" w:type="dxa"/>
            <w:vAlign w:val="center"/>
          </w:tcPr>
          <w:p w:rsidR="00341CB9" w:rsidRPr="002B268D" w:rsidRDefault="00341CB9" w:rsidP="00341CB9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bookmarkStart w:id="0" w:name="_GoBack" w:colFirst="1" w:colLast="1"/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9</w:t>
            </w:r>
          </w:p>
        </w:tc>
        <w:tc>
          <w:tcPr>
            <w:tcW w:w="1675" w:type="dxa"/>
          </w:tcPr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Aptos" w:hAnsi="GHEA Grapalat" w:cs="Aptos"/>
                <w:sz w:val="18"/>
                <w:szCs w:val="18"/>
                <w:lang w:val="hy"/>
              </w:rPr>
              <w:t xml:space="preserve">Համակարգչային թվային </w:t>
            </w:r>
            <w:r w:rsidRPr="00750432">
              <w:rPr>
                <w:rFonts w:ascii="GHEA Grapalat" w:eastAsia="Aptos" w:hAnsi="GHEA Grapalat" w:cs="Aptos"/>
                <w:sz w:val="18"/>
                <w:szCs w:val="18"/>
                <w:lang w:val="hy"/>
              </w:rPr>
              <w:lastRenderedPageBreak/>
              <w:t>կառավարմամբ հաստոց</w:t>
            </w:r>
          </w:p>
        </w:tc>
        <w:tc>
          <w:tcPr>
            <w:tcW w:w="8460" w:type="dxa"/>
          </w:tcPr>
          <w:p w:rsidR="00341CB9" w:rsidRPr="00A26F77" w:rsidRDefault="00341CB9" w:rsidP="00341CB9">
            <w:pPr>
              <w:jc w:val="center"/>
              <w:rPr>
                <w:rFonts w:ascii="GHEA Grapalat" w:eastAsia="Aptos" w:hAnsi="GHEA Grapalat" w:cs="Aptos"/>
                <w:sz w:val="18"/>
                <w:szCs w:val="18"/>
                <w:lang w:val="hy"/>
              </w:rPr>
            </w:pPr>
            <w:r w:rsidRPr="00A26F77">
              <w:rPr>
                <w:rFonts w:ascii="GHEA Grapalat" w:eastAsia="Aptos" w:hAnsi="GHEA Grapalat" w:cs="Aptos"/>
                <w:sz w:val="18"/>
                <w:szCs w:val="18"/>
                <w:lang w:val="hy"/>
              </w:rPr>
              <w:lastRenderedPageBreak/>
              <w:t xml:space="preserve">Համակարգչային թվային կառավարմամբ հաստոց, որը պետք է ապահովի աշխատանքային մակերևույթի մակերես՝ 40x30սմ2 կամ 40x60սմ2, և աշխատանքային ծավալ՝ 40x30x13սմ3 կամ 40x60x13սմ3։ Պետք է համալրված լինի արդիականացված 65 մմ դիամետրով ֆրեզային գործիքով, </w:t>
            </w:r>
            <w:r w:rsidRPr="00A26F77">
              <w:rPr>
                <w:rFonts w:ascii="GHEA Grapalat" w:eastAsia="Aptos" w:hAnsi="GHEA Grapalat" w:cs="Aptos"/>
                <w:sz w:val="18"/>
                <w:szCs w:val="18"/>
                <w:lang w:val="hy"/>
              </w:rPr>
              <w:lastRenderedPageBreak/>
              <w:t>6 աստիճանի արագության կարգավորմամբ՝ 8000-24000 RPM, որը կապահովի 800 Վտ աշխատանքային հզորություն, որի արագության կարգավորումը կատարվում է ձեռքով պտտվող անջատիչով (ոչ ծրագրային կառավարվող), ինչպես նաև առնվազն 1.5 կՎտ հզորությամբ ճշգրիտ իլով (spindle) որի կառավարումը կկատարվի ծրագրային։ Հաստոցի յուրաքանչյուր առանցքի շարժը պետք է ապահովվի ամուր և գերճշգրիտ երկակի կամ քառակի գծային ռելսերով և գնդիկային գծային առանցքակալներով պտուտակային ուղղորդիչների օգնությամբ: Յուրաքանչյուր առանցք (X, Y, Z) առնվազն պետք է հագեցված լինի HGH-15 տեսակի գծային ռելսերով և 1204 գնդիկային պտուտակային ուղղորդիչներով: Բարելավված X և Y առանցքների փոշուց պաշտպանություն։ Հաստոցը պետք է ներառի հետադարձ կապով և առանց հետադարձ կապով քայլային շարժիչներ (hաստոցը պետք է համալրված լինի յուրաքանչյուր առանցքի համար առանց հետադարձ կապի և հետադարձ կապով քայլային շարժիչներով՝ Nema 23, Nema 24 կամ Nema 34 մոդելների, որոնք հնարավոր կլինի հեշտությամբ և հուսալի փոխարինել մեկը մյուսով), 4-րդ առանցք (պտտվող առանցք), Z առանցքով հարթակի տարբեր կետերում կոորդինատների ճշգրիտ չափման համակարգ (Touch Probe)։ Շարժիչները պետք է ապահովեն առնվազն 1.2Նմ պտտման մոմենտ։ Հաստոցը պետք է ունենա արտաքին հավելյալ սարքավորումների կցման հնարավորություններ՝ Լազերային փորագրիչ, 4-րդ առանցք (պտտվող առանցք), M07/M08 հովացման կառավարող համակարգ, հետադարձ կապով և առանց քայլային շարժիչներ, Z առանցքով հարթակի տարբեր կետերում կոորդինատների ճշգրիտ չափման համակարգ (Touch Probe)։ Կառավարման հանգույցը պետք է հիմնված լինի 32 բիթանոց ներկառուցված համակարգի վրա։ Կառավարումը պետք է տեղի ունենա ինչպես անմիջապես համակարգչի հետ տվյալների փոխանակմամբ, այլ նաև հեռահար, օրինակ՝ WIFI սարքավորման միջոցով։ Հաստոցը անհրաժեշտ է լրակազմով։ Հաստոցի լրակազմը ներառում է՝ առնվազն 1.5 կՎտ իլ (spindle)՝ մալուխներով և սպասարկման բանալիներով Պտտվող առանցք (rotary axis attachment)՝ գլանաձև աշխատանքային մասերի համար։ Երեք հետադարձ կապով քայլային շարժիչներ՝ X, Y և Z առանցքների շարժման համար MDF spoilboard (փայտե հենասեղան)՝ նախապես փորված անցքերով և ամրացման պտուտակներով</w:t>
            </w:r>
          </w:p>
          <w:p w:rsidR="00341CB9" w:rsidRPr="00A26F77" w:rsidRDefault="00341CB9" w:rsidP="00341CB9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="Aptos" w:hAnsi="GHEA Grapalat" w:cs="Aptos"/>
                <w:sz w:val="18"/>
                <w:szCs w:val="18"/>
                <w:lang w:val="hy" w:eastAsia="ru-RU"/>
              </w:rPr>
            </w:pPr>
            <w:r w:rsidRPr="00A26F77">
              <w:rPr>
                <w:rFonts w:ascii="GHEA Grapalat" w:eastAsia="Aptos" w:hAnsi="GHEA Grapalat" w:cs="Aptos"/>
                <w:sz w:val="18"/>
                <w:szCs w:val="18"/>
                <w:lang w:val="hy" w:eastAsia="ru-RU"/>
              </w:rPr>
              <w:t>Ապրանքը պետք է լինի նոր, չօգտագործված, չվերանորոգված։</w:t>
            </w:r>
          </w:p>
          <w:p w:rsidR="00341CB9" w:rsidRPr="00A26F77" w:rsidRDefault="00341CB9" w:rsidP="00341CB9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="Aptos" w:hAnsi="GHEA Grapalat" w:cs="Aptos"/>
                <w:sz w:val="18"/>
                <w:szCs w:val="18"/>
                <w:lang w:val="hy" w:eastAsia="ru-RU"/>
              </w:rPr>
            </w:pPr>
            <w:r w:rsidRPr="00A26F77">
              <w:rPr>
                <w:rFonts w:ascii="GHEA Grapalat" w:eastAsia="Aptos" w:hAnsi="GHEA Grapalat" w:cs="Aptos"/>
                <w:sz w:val="18"/>
                <w:szCs w:val="18"/>
                <w:lang w:val="hy" w:eastAsia="ru-RU"/>
              </w:rPr>
              <w:t xml:space="preserve">Ապրանքի մատակարարումը մասնակցի կողմից՝ պատվիրատուի հետ նախապես համաձայնեցնելով: </w:t>
            </w:r>
          </w:p>
          <w:p w:rsidR="00341CB9" w:rsidRPr="00A26F77" w:rsidRDefault="00341CB9" w:rsidP="00341CB9">
            <w:pPr>
              <w:jc w:val="center"/>
              <w:rPr>
                <w:rFonts w:ascii="GHEA Grapalat" w:eastAsia="Aptos" w:hAnsi="GHEA Grapalat" w:cs="Aptos"/>
                <w:sz w:val="18"/>
                <w:szCs w:val="18"/>
                <w:lang w:val="hy"/>
              </w:rPr>
            </w:pPr>
          </w:p>
        </w:tc>
        <w:tc>
          <w:tcPr>
            <w:tcW w:w="1134" w:type="dxa"/>
          </w:tcPr>
          <w:p w:rsidR="00341CB9" w:rsidRPr="00750432" w:rsidRDefault="00341CB9" w:rsidP="00341CB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  <w:bookmarkEnd w:id="0"/>
      <w:tr w:rsidR="00341CB9" w:rsidRPr="00993C3D" w:rsidTr="00440084">
        <w:trPr>
          <w:trHeight w:val="460"/>
          <w:jc w:val="center"/>
        </w:trPr>
        <w:tc>
          <w:tcPr>
            <w:tcW w:w="1560" w:type="dxa"/>
            <w:vAlign w:val="center"/>
          </w:tcPr>
          <w:p w:rsidR="00341CB9" w:rsidRPr="002B268D" w:rsidRDefault="00341CB9" w:rsidP="00341CB9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10</w:t>
            </w:r>
          </w:p>
        </w:tc>
        <w:tc>
          <w:tcPr>
            <w:tcW w:w="1675" w:type="dxa"/>
          </w:tcPr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GHEA Grapalat" w:hAnsi="GHEA Grapalat" w:cs="GHEA Grapalat"/>
                <w:sz w:val="18"/>
                <w:szCs w:val="18"/>
                <w:lang w:val="hy"/>
              </w:rPr>
              <w:t>Ինֆրակարմիր զոդման կայանք</w:t>
            </w:r>
          </w:p>
        </w:tc>
        <w:tc>
          <w:tcPr>
            <w:tcW w:w="8460" w:type="dxa"/>
          </w:tcPr>
          <w:p w:rsidR="00341CB9" w:rsidRPr="00A26F77" w:rsidRDefault="00341CB9" w:rsidP="00341CB9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  <w:lang w:val="hy"/>
              </w:rPr>
            </w:pPr>
            <w:r w:rsidRPr="00A26F77">
              <w:rPr>
                <w:rFonts w:ascii="GHEA Grapalat" w:eastAsia="GHEA Grapalat" w:hAnsi="GHEA Grapalat" w:cs="GHEA Grapalat"/>
                <w:sz w:val="18"/>
                <w:szCs w:val="18"/>
                <w:lang w:val="hy"/>
              </w:rPr>
              <w:t xml:space="preserve">Ինֆրակարմիր զոդման կայանք, որը պետք է համալրված լինի կետրոնացված ինֆրակարմիր տաքացման համակարգով, երեք գոտիներից բաղկացած կվարցային ինֆրակարմիր տաքացվող հարթակով, ինչպես նաև էլեկտրոնային կոմպոնենտների ավտոմատ կամ մեխանիկական հեռացման և/կամ տեղադրման մեխանիզմով։ Կայանքը պետք է ունենա հետադարձ կապով ճշգրիտ ջերմաստիճանային չափիչ համակարգ, ավտոմատ ջերմային գործընթացների վերահսկմամբ։ Համակարգը պետք է համալրված լինել օպտոէլեկտրական դիտման սարքավորումով, որը հնարավորություն կտա հետևել գործընթացին։ Կայանքը պետք է համալրված լինի պրոցեսի ընթացքում հարկադրական օդային սառեցման համակարգով։ Կայանքը պետք է հնարավոր լինի տեղադրել առավելագույնը 1400 մմ × 600 մմ չափսերով սեղանի վրա և ունենա ոչ ավելին, քան 75 կգ քաշ։ Պետք է աշխատի 208–240 Վ լարման և 50/60 Հց հաճախականության պայմաններում՝ մինչև 3.5 կՎտ հզորությամբ։ Վերին տաքացուցիչը լինի կենտրոնացված ինֆրակարմիր՝ առնվազն 150 Վտ հզորությամբ, որը պետք է ապահովի մինչև 70 մմ տրամագծով </w:t>
            </w:r>
            <w:r w:rsidRPr="00A26F77">
              <w:rPr>
                <w:rFonts w:ascii="GHEA Grapalat" w:eastAsia="GHEA Grapalat" w:hAnsi="GHEA Grapalat" w:cs="GHEA Grapalat"/>
                <w:sz w:val="18"/>
                <w:szCs w:val="18"/>
                <w:lang w:val="hy"/>
              </w:rPr>
              <w:lastRenderedPageBreak/>
              <w:t>տաքացման կետ։ Տպասալի նախատաքացուցիչը լինի բարձր հզորությամբ Dark IR համակարգ՝ առնվազն 3250 Վտ, 360 × 240 մմ մակերեսով և երեք գոտիներով։ Կայանքը համալրված լինի տարբեր օպտիկական spot size-ներով, օրինակ՝ F700 (Ø25–70 մմ) և F200 (Ø10–28 մմ), ինչը թույլ կտա ճկուն աշխատել տարբեր չափսերի բաղադրիչների հետ։ Կոմպոնենտների տեղադրումը կատարվի ավտոմատ Split Beam Prism Alignment համակարգով, որը կարող է ապահովել մինչև 10 մկմ ճշգրտություն։ Ջերմաստիճանի չափումը իրականացվի ոչ կոնտակտային ինֆրակարմիր սենսորներով, որոնք վերահսկում են և՛ բաղադրիչը, և՛ տպասալը։ Կայանքը պետք է աշխատի մինչև 300 × 450 մմ չափսի տպասալների հետ և կարողանա վերամշակել մինչև 55 × 55 մմ բաղադրիչներ։ Նվազագույն բաղադրիչի չափսը կազմում է 2 × 2 մմ։ Վերամշակման տարածքը սահմանափակվում է մոտ 254 × 406 մմ չափսերով։ Համակարգը ներառի առնվազն 4 ջերմազույգային տվիչներ (Thermocouple Channels), որոնք ապահովեն միաժամանակ օրինակ մինչև չորս կետում ջերմաստիճանի ճշգրիտ վերահսկում։</w:t>
            </w:r>
          </w:p>
          <w:p w:rsidR="00341CB9" w:rsidRPr="00A26F77" w:rsidRDefault="00341CB9" w:rsidP="00341CB9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="GHEA Grapalat" w:hAnsi="GHEA Grapalat" w:cs="GHEA Grapalat"/>
                <w:sz w:val="18"/>
                <w:szCs w:val="18"/>
                <w:lang w:val="hy" w:eastAsia="ru-RU"/>
              </w:rPr>
            </w:pPr>
            <w:r w:rsidRPr="00A26F77">
              <w:rPr>
                <w:rFonts w:ascii="GHEA Grapalat" w:eastAsia="GHEA Grapalat" w:hAnsi="GHEA Grapalat" w:cs="GHEA Grapalat"/>
                <w:sz w:val="18"/>
                <w:szCs w:val="18"/>
                <w:lang w:val="hy" w:eastAsia="ru-RU"/>
              </w:rPr>
              <w:t>Ապրանքը պետք է լինի նոր, չօգտագործված, չվերանորոգված։</w:t>
            </w:r>
          </w:p>
          <w:p w:rsidR="00341CB9" w:rsidRPr="00A26F77" w:rsidRDefault="00341CB9" w:rsidP="00341CB9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="GHEA Grapalat" w:hAnsi="GHEA Grapalat" w:cs="GHEA Grapalat"/>
                <w:sz w:val="18"/>
                <w:szCs w:val="18"/>
                <w:lang w:val="hy" w:eastAsia="ru-RU"/>
              </w:rPr>
            </w:pPr>
            <w:r w:rsidRPr="00A26F77">
              <w:rPr>
                <w:rFonts w:ascii="GHEA Grapalat" w:eastAsia="GHEA Grapalat" w:hAnsi="GHEA Grapalat" w:cs="GHEA Grapalat"/>
                <w:sz w:val="18"/>
                <w:szCs w:val="18"/>
                <w:lang w:val="hy" w:eastAsia="ru-RU"/>
              </w:rPr>
              <w:t>Ապրանքի մատակարարումը մասնակցի կողմից՝ պատվիրատուի հետ նախապես համաձայնեցնելով:</w:t>
            </w:r>
          </w:p>
        </w:tc>
        <w:tc>
          <w:tcPr>
            <w:tcW w:w="1134" w:type="dxa"/>
          </w:tcPr>
          <w:p w:rsidR="00341CB9" w:rsidRPr="00750432" w:rsidRDefault="00341CB9" w:rsidP="00341CB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:rsidR="00341CB9" w:rsidRPr="00750432" w:rsidRDefault="00341CB9" w:rsidP="00341C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</w:tr>
    </w:tbl>
    <w:p w:rsidR="009A23A4" w:rsidRPr="00993C3D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56FC3" w:rsidRDefault="00056FC3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</w:t>
      </w:r>
      <w:r w:rsidRPr="00F64665">
        <w:rPr>
          <w:rFonts w:ascii="GHEA Grapalat" w:hAnsi="GHEA Grapalat"/>
          <w:sz w:val="22"/>
          <w:szCs w:val="22"/>
          <w:lang w:val="af-ZA"/>
        </w:rPr>
        <w:t xml:space="preserve">սահմանել </w:t>
      </w:r>
      <w:r w:rsidR="001507B9">
        <w:rPr>
          <w:rFonts w:ascii="GHEA Grapalat" w:hAnsi="GHEA Grapalat"/>
          <w:b/>
          <w:sz w:val="22"/>
          <w:szCs w:val="22"/>
          <w:lang w:val="af-ZA"/>
        </w:rPr>
        <w:t>2026թ. մարտի 9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-ին ժամը  1</w:t>
      </w:r>
      <w:r w:rsidR="00380801" w:rsidRPr="00F64665">
        <w:rPr>
          <w:rFonts w:ascii="GHEA Grapalat" w:hAnsi="GHEA Grapalat"/>
          <w:b/>
          <w:sz w:val="22"/>
          <w:szCs w:val="22"/>
          <w:lang w:val="af-ZA"/>
        </w:rPr>
        <w:t>5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։</w:t>
      </w:r>
      <w:r w:rsidR="00C063C8">
        <w:rPr>
          <w:rFonts w:ascii="GHEA Grapalat" w:hAnsi="GHEA Grapalat"/>
          <w:b/>
          <w:sz w:val="22"/>
          <w:szCs w:val="22"/>
          <w:lang w:val="af-ZA"/>
        </w:rPr>
        <w:t>3</w:t>
      </w:r>
      <w:r w:rsidR="00E92E6D" w:rsidRPr="00F64665">
        <w:rPr>
          <w:rFonts w:ascii="GHEA Grapalat" w:hAnsi="GHEA Grapalat"/>
          <w:b/>
          <w:sz w:val="22"/>
          <w:szCs w:val="22"/>
          <w:lang w:val="af-ZA"/>
        </w:rPr>
        <w:t>0</w:t>
      </w:r>
      <w:r w:rsidRPr="00F64665">
        <w:rPr>
          <w:rFonts w:ascii="GHEA Grapalat" w:hAnsi="GHEA Grapalat"/>
          <w:sz w:val="22"/>
          <w:szCs w:val="22"/>
          <w:lang w:val="af-ZA"/>
        </w:rPr>
        <w:t>-ին: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993C3D" w:rsidRDefault="00C14C7B" w:rsidP="0071196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93C3D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="00711964" w:rsidRPr="00993C3D">
        <w:rPr>
          <w:rFonts w:ascii="GHEA Grapalat" w:hAnsi="GHEA Grapalat" w:cs="Sylfaen"/>
          <w:sz w:val="22"/>
          <w:szCs w:val="22"/>
          <w:u w:val="single"/>
          <w:lang w:val="af-ZA"/>
        </w:rPr>
        <w:t>՝</w:t>
      </w:r>
      <w:r w:rsidR="00711964"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93C3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29-րդ հոդվածի պահանջների համաձայն:</w:t>
      </w:r>
    </w:p>
    <w:p w:rsidR="00C14C7B" w:rsidRPr="00993C3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  <w:r w:rsidRPr="00993C3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hy-AM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գնահատող հանձնաժողովի քարտուղար </w:t>
      </w:r>
      <w:r w:rsidR="00EE1967" w:rsidRPr="00993C3D">
        <w:rPr>
          <w:rFonts w:ascii="GHEA Grapalat" w:hAnsi="GHEA Grapalat"/>
          <w:sz w:val="22"/>
          <w:szCs w:val="22"/>
          <w:lang w:val="af-ZA"/>
        </w:rPr>
        <w:t>Լուսինե Այվազ</w:t>
      </w:r>
      <w:r w:rsidR="000802A0" w:rsidRPr="00993C3D">
        <w:rPr>
          <w:rFonts w:ascii="GHEA Grapalat" w:hAnsi="GHEA Grapalat"/>
          <w:sz w:val="22"/>
          <w:szCs w:val="22"/>
          <w:lang w:val="af-ZA"/>
        </w:rPr>
        <w:t>յանին</w:t>
      </w:r>
      <w:r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ab/>
      </w:r>
      <w:r w:rsidRPr="00993C3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>Հե</w:t>
      </w:r>
      <w:r w:rsidRPr="00993C3D">
        <w:rPr>
          <w:rFonts w:ascii="GHEA Grapalat" w:hAnsi="GHEA Grapalat"/>
          <w:sz w:val="22"/>
          <w:szCs w:val="22"/>
          <w:lang w:val="hy-AM"/>
        </w:rPr>
        <w:t>ռ</w:t>
      </w:r>
      <w:r w:rsidRPr="00993C3D">
        <w:rPr>
          <w:rFonts w:ascii="Cambria Math" w:hAnsi="Cambria Math"/>
          <w:sz w:val="22"/>
          <w:szCs w:val="22"/>
          <w:lang w:val="hy-AM"/>
        </w:rPr>
        <w:t>․՝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060</w:t>
      </w:r>
      <w:r w:rsidR="00893C52">
        <w:rPr>
          <w:rFonts w:ascii="GHEA Grapalat" w:hAnsi="GHEA Grapalat"/>
          <w:sz w:val="22"/>
          <w:szCs w:val="22"/>
          <w:lang w:val="af-ZA"/>
        </w:rPr>
        <w:t>710013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993C3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993C3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993C3D">
        <w:rPr>
          <w:rFonts w:ascii="GHEA Grapalat" w:hAnsi="GHEA Grapalat"/>
          <w:sz w:val="22"/>
          <w:szCs w:val="22"/>
          <w:lang w:val="hy-AM"/>
        </w:rPr>
        <w:t>Փ</w:t>
      </w:r>
      <w:r w:rsidRPr="00993C3D">
        <w:rPr>
          <w:rFonts w:ascii="GHEA Grapalat" w:hAnsi="GHEA Grapalat"/>
          <w:sz w:val="22"/>
          <w:szCs w:val="22"/>
          <w:lang w:val="af-ZA"/>
        </w:rPr>
        <w:t>ոստ</w:t>
      </w:r>
      <w:r w:rsidRPr="00993C3D">
        <w:rPr>
          <w:rFonts w:ascii="GHEA Grapalat" w:hAnsi="GHEA Grapalat"/>
          <w:sz w:val="22"/>
          <w:szCs w:val="22"/>
          <w:lang w:val="hy-AM"/>
        </w:rPr>
        <w:t>՝</w:t>
      </w:r>
      <w:r w:rsidRPr="00993C3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230F14">
      <w:pPr>
        <w:pStyle w:val="BodyTextIndent3"/>
        <w:spacing w:after="0"/>
        <w:rPr>
          <w:lang w:val="af-ZA"/>
        </w:rPr>
      </w:pPr>
      <w:r w:rsidRPr="00993C3D">
        <w:rPr>
          <w:rFonts w:ascii="GHEA Grapalat" w:hAnsi="GHEA Grapalat"/>
          <w:b/>
          <w:szCs w:val="22"/>
          <w:lang w:val="af-ZA"/>
        </w:rPr>
        <w:t>Պատվիրատու</w:t>
      </w:r>
      <w:r w:rsidRPr="00993C3D">
        <w:rPr>
          <w:rFonts w:ascii="GHEA Grapalat" w:hAnsi="GHEA Grapalat"/>
          <w:b/>
          <w:szCs w:val="22"/>
          <w:lang w:val="hy-AM"/>
        </w:rPr>
        <w:t>՝</w:t>
      </w:r>
      <w:r w:rsidRPr="00993C3D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«</w:t>
      </w:r>
      <w:r w:rsidR="004D15E5" w:rsidRPr="00993C3D">
        <w:rPr>
          <w:rFonts w:ascii="GHEA Grapalat" w:hAnsi="GHEA Grapalat"/>
          <w:sz w:val="22"/>
          <w:szCs w:val="22"/>
        </w:rPr>
        <w:t>ԵՊՀ</w:t>
      </w:r>
      <w:r w:rsidR="004D15E5" w:rsidRPr="00993C3D">
        <w:rPr>
          <w:rFonts w:ascii="GHEA Grapalat" w:hAnsi="GHEA Grapalat"/>
          <w:sz w:val="22"/>
          <w:szCs w:val="22"/>
          <w:lang w:val="af-ZA"/>
        </w:rPr>
        <w:t>» հիմնադրամ</w:t>
      </w:r>
    </w:p>
    <w:sectPr w:rsidR="0026644A" w:rsidRPr="00C14C7B" w:rsidSect="00F64665">
      <w:pgSz w:w="16838" w:h="11906" w:orient="landscape"/>
      <w:pgMar w:top="54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45D21"/>
    <w:rsid w:val="00056FC3"/>
    <w:rsid w:val="000802A0"/>
    <w:rsid w:val="00093172"/>
    <w:rsid w:val="000A421E"/>
    <w:rsid w:val="000B4D3E"/>
    <w:rsid w:val="000D1143"/>
    <w:rsid w:val="000E3034"/>
    <w:rsid w:val="000E7341"/>
    <w:rsid w:val="00114557"/>
    <w:rsid w:val="0012562F"/>
    <w:rsid w:val="00126366"/>
    <w:rsid w:val="0013527A"/>
    <w:rsid w:val="001507B9"/>
    <w:rsid w:val="00160C1F"/>
    <w:rsid w:val="001946ED"/>
    <w:rsid w:val="00194DF5"/>
    <w:rsid w:val="001A02DB"/>
    <w:rsid w:val="001B72C1"/>
    <w:rsid w:val="001C4119"/>
    <w:rsid w:val="002031CD"/>
    <w:rsid w:val="00221752"/>
    <w:rsid w:val="00230F14"/>
    <w:rsid w:val="00240E71"/>
    <w:rsid w:val="002449F3"/>
    <w:rsid w:val="00256245"/>
    <w:rsid w:val="00262ECF"/>
    <w:rsid w:val="0026644A"/>
    <w:rsid w:val="0029509A"/>
    <w:rsid w:val="002E0C09"/>
    <w:rsid w:val="002E350B"/>
    <w:rsid w:val="002E4351"/>
    <w:rsid w:val="002F2B38"/>
    <w:rsid w:val="00305C15"/>
    <w:rsid w:val="00330C4A"/>
    <w:rsid w:val="00341CB9"/>
    <w:rsid w:val="00364FBF"/>
    <w:rsid w:val="00380801"/>
    <w:rsid w:val="003821DA"/>
    <w:rsid w:val="003A59AD"/>
    <w:rsid w:val="003E432A"/>
    <w:rsid w:val="00420CFA"/>
    <w:rsid w:val="004469D9"/>
    <w:rsid w:val="004835AB"/>
    <w:rsid w:val="00486630"/>
    <w:rsid w:val="004D15E5"/>
    <w:rsid w:val="004E2084"/>
    <w:rsid w:val="004E2DCE"/>
    <w:rsid w:val="004F7EA4"/>
    <w:rsid w:val="00501C3E"/>
    <w:rsid w:val="005177A1"/>
    <w:rsid w:val="00523D25"/>
    <w:rsid w:val="00531DA3"/>
    <w:rsid w:val="00561D62"/>
    <w:rsid w:val="00567FAB"/>
    <w:rsid w:val="005C2F2F"/>
    <w:rsid w:val="005E238F"/>
    <w:rsid w:val="005F1E3E"/>
    <w:rsid w:val="00602ED0"/>
    <w:rsid w:val="006302F5"/>
    <w:rsid w:val="00630454"/>
    <w:rsid w:val="00653FF7"/>
    <w:rsid w:val="00690F2E"/>
    <w:rsid w:val="006A1D16"/>
    <w:rsid w:val="006A52AD"/>
    <w:rsid w:val="006F22B9"/>
    <w:rsid w:val="006F6851"/>
    <w:rsid w:val="00711964"/>
    <w:rsid w:val="00711C81"/>
    <w:rsid w:val="00714D6E"/>
    <w:rsid w:val="00741432"/>
    <w:rsid w:val="00761379"/>
    <w:rsid w:val="007A137A"/>
    <w:rsid w:val="007A7DD3"/>
    <w:rsid w:val="007B73AF"/>
    <w:rsid w:val="007C6031"/>
    <w:rsid w:val="007D71AC"/>
    <w:rsid w:val="007F6CFB"/>
    <w:rsid w:val="00893C52"/>
    <w:rsid w:val="008B3993"/>
    <w:rsid w:val="008C07E4"/>
    <w:rsid w:val="008C4DD0"/>
    <w:rsid w:val="008C7202"/>
    <w:rsid w:val="008D2216"/>
    <w:rsid w:val="008E16CC"/>
    <w:rsid w:val="008E6110"/>
    <w:rsid w:val="008F498E"/>
    <w:rsid w:val="009144DA"/>
    <w:rsid w:val="00921C79"/>
    <w:rsid w:val="00993C3D"/>
    <w:rsid w:val="009A23A4"/>
    <w:rsid w:val="009B5202"/>
    <w:rsid w:val="009F20DF"/>
    <w:rsid w:val="009F620A"/>
    <w:rsid w:val="00A05F0D"/>
    <w:rsid w:val="00A16F11"/>
    <w:rsid w:val="00A22083"/>
    <w:rsid w:val="00A546E2"/>
    <w:rsid w:val="00A658EE"/>
    <w:rsid w:val="00A67E71"/>
    <w:rsid w:val="00A83793"/>
    <w:rsid w:val="00AC0F72"/>
    <w:rsid w:val="00B046D3"/>
    <w:rsid w:val="00B162D2"/>
    <w:rsid w:val="00B351FB"/>
    <w:rsid w:val="00B42B3D"/>
    <w:rsid w:val="00B57EBD"/>
    <w:rsid w:val="00B94B9C"/>
    <w:rsid w:val="00BA4101"/>
    <w:rsid w:val="00BC2D08"/>
    <w:rsid w:val="00C063C8"/>
    <w:rsid w:val="00C133BC"/>
    <w:rsid w:val="00C14C7B"/>
    <w:rsid w:val="00C33553"/>
    <w:rsid w:val="00C43FF4"/>
    <w:rsid w:val="00CB18A1"/>
    <w:rsid w:val="00CD0D1C"/>
    <w:rsid w:val="00CD7F49"/>
    <w:rsid w:val="00CE4603"/>
    <w:rsid w:val="00D463ED"/>
    <w:rsid w:val="00D4759D"/>
    <w:rsid w:val="00D5342B"/>
    <w:rsid w:val="00D6673C"/>
    <w:rsid w:val="00D9516B"/>
    <w:rsid w:val="00DC2DB7"/>
    <w:rsid w:val="00DE03F9"/>
    <w:rsid w:val="00DF014B"/>
    <w:rsid w:val="00DF0B5C"/>
    <w:rsid w:val="00E31259"/>
    <w:rsid w:val="00E36641"/>
    <w:rsid w:val="00E902FB"/>
    <w:rsid w:val="00E92E6D"/>
    <w:rsid w:val="00EE1967"/>
    <w:rsid w:val="00EF1C08"/>
    <w:rsid w:val="00F023D0"/>
    <w:rsid w:val="00F229B2"/>
    <w:rsid w:val="00F41C33"/>
    <w:rsid w:val="00F42FBF"/>
    <w:rsid w:val="00F64665"/>
    <w:rsid w:val="00F7603F"/>
    <w:rsid w:val="00F821A6"/>
    <w:rsid w:val="00F85996"/>
    <w:rsid w:val="00F92B25"/>
    <w:rsid w:val="00FA01C1"/>
    <w:rsid w:val="00FA11E6"/>
    <w:rsid w:val="00FB14B2"/>
    <w:rsid w:val="00FB63AC"/>
    <w:rsid w:val="00F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725AD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51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NormalWeb">
    <w:name w:val="Normal (Web)"/>
    <w:basedOn w:val="Normal"/>
    <w:uiPriority w:val="99"/>
    <w:unhideWhenUsed/>
    <w:qFormat/>
    <w:rsid w:val="005177A1"/>
    <w:pPr>
      <w:spacing w:before="100" w:beforeAutospacing="1" w:after="100" w:afterAutospacing="1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Lusine Ayvazyan</cp:lastModifiedBy>
  <cp:revision>172</cp:revision>
  <cp:lastPrinted>2025-03-05T10:18:00Z</cp:lastPrinted>
  <dcterms:created xsi:type="dcterms:W3CDTF">2024-02-26T07:35:00Z</dcterms:created>
  <dcterms:modified xsi:type="dcterms:W3CDTF">2026-02-26T12:18:00Z</dcterms:modified>
</cp:coreProperties>
</file>