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ՏՄԻՀ-ԷԱՃ-ԾՁԲ-26/17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Տավուշի մարզի Իջևանի համայնքապետարանի կարիքների համար՝ Թափառող կենդանիների ստերջացման ծառայություններ 26/17</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ՏՄԻՀ-ԷԱՃ-ԾՁԲ-26/17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Տավուշի մարզի Իջևանի համայնքապետարանի կարիքների համար՝ Թափառող կենդանիների ստերջացման ծառայություններ 26/17</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Տավուշի մարզի Իջևանի համայնքապետարանի կարիքների համար՝ Թափառող կենդանիների ստերջացման ծառայություններ 26/17</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ՏՄԻՀ-ԷԱՃ-ԾՁԲ-26/17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Տավուշի մարզի Իջևանի համայնքապետարանի կարիքների համար՝ Թափառող կենդանիների ստերջացման ծառայություններ 26/17</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ՏՄԻՀ-ԷԱՃ-ԾՁԲ-26/17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ՏՄԻՀ-ԷԱՃ-ԾՁԲ-26/17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ՏՄԻՀ-ԷԱՃ-ԾՁԲ-26/17»*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ՏՄԻՀ-ԷԱՃ-ԾՁԲ-26/17»*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ՏՄԻՀ-ԷԱՃ-ԾՁԲ-26/17*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այն պետք է իրականացվի կատարողի կողմից;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կամ պատասխանատու ստորաբաժանման աշխատակիցների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հետք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