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CD" w:rsidRDefault="00E807E9" w:rsidP="00E807E9">
      <w:pPr>
        <w:jc w:val="center"/>
        <w:rPr>
          <w:b/>
          <w:lang w:val="hy-AM"/>
        </w:rPr>
      </w:pPr>
      <w:r w:rsidRPr="00E807E9">
        <w:rPr>
          <w:b/>
          <w:lang w:val="hy-AM"/>
        </w:rPr>
        <w:t>Տեխնիկական բնութագիր</w:t>
      </w:r>
    </w:p>
    <w:p w:rsidR="00E807E9" w:rsidRDefault="00E807E9" w:rsidP="00E807E9">
      <w:pPr>
        <w:jc w:val="center"/>
        <w:rPr>
          <w:b/>
          <w:lang w:val="hy-AM"/>
        </w:rPr>
      </w:pPr>
      <w:r>
        <w:rPr>
          <w:b/>
          <w:lang w:val="hy-AM"/>
        </w:rPr>
        <w:t>Մատուցվող ծառայություններ</w:t>
      </w:r>
    </w:p>
    <w:p w:rsidR="00E807E9" w:rsidRPr="000E0847" w:rsidRDefault="00E807E9" w:rsidP="00E807E9">
      <w:pPr>
        <w:framePr w:hSpace="180" w:wrap="around" w:vAnchor="text" w:hAnchor="margin" w:xAlign="center" w:y="338"/>
        <w:spacing w:line="256" w:lineRule="auto"/>
        <w:jc w:val="both"/>
        <w:rPr>
          <w:rFonts w:cs="Sylfaen"/>
          <w:b/>
          <w:i/>
          <w:sz w:val="20"/>
          <w:szCs w:val="20"/>
          <w:lang w:val="hy-AM"/>
        </w:rPr>
      </w:pPr>
      <w:r w:rsidRPr="000E0847">
        <w:rPr>
          <w:rFonts w:cs="Sylfaen"/>
          <w:b/>
          <w:i/>
          <w:sz w:val="20"/>
          <w:szCs w:val="20"/>
          <w:lang w:val="hy-AM"/>
        </w:rPr>
        <w:t>Ֆինանսական հաշվետվությունների միջազգային ստանդարտներին (այսուհետ ՖՀՄՍ) համապատասխան հաշվապահական հաշվառում վարելու նպատակով  01.01.2026թ. դրությամբ Կազմակերպության՝</w:t>
      </w:r>
    </w:p>
    <w:p w:rsidR="00E807E9" w:rsidRPr="000E0847" w:rsidRDefault="00E807E9" w:rsidP="00E807E9">
      <w:pPr>
        <w:framePr w:hSpace="180" w:wrap="around" w:vAnchor="text" w:hAnchor="margin" w:xAlign="center" w:y="338"/>
        <w:spacing w:line="256" w:lineRule="auto"/>
        <w:rPr>
          <w:rFonts w:cs="Sylfaen"/>
          <w:b/>
          <w:i/>
          <w:sz w:val="20"/>
          <w:szCs w:val="20"/>
          <w:lang w:val="hy-AM"/>
        </w:rPr>
      </w:pP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Հիմնական միջոցների գույքագրում,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Փոխանցող միջոցների տեխնիկական գույքագրում,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</w:rPr>
        <w:t>QR</w:t>
      </w: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-կոդավորում,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Բացահայտում՝ ըստ ՖՀՄՍ 36, 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Հիմնական միջոցների իրական արժեքի գնահատում՝ համաձայն ՖՀՄՍ 16,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Ոչ ընթացիկ ակտիվների ներբեռնում հաշվապահական ծրագիր ՀԾ,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Լուծարվող գույքերի հաշվառում, վերագնահատում, աճուրդի ներկայացում,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Բոլոր աշխատանքները պետք է տրամադրվեն Պատվիրատուին թղթային և էլեկտրոնային կրիչով՝ Պատվիրատուի առաջին իսկ պահանջի դեպքում։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Ընթացիկ աշխատանքները պետք է տրամադրվեն թղթային և էլեկտրոնային կրիչով ցանկացած պահին Պատվիրատուի պահանջով։ </w:t>
      </w:r>
    </w:p>
    <w:p w:rsidR="00E807E9" w:rsidRPr="000E0847" w:rsidRDefault="00E807E9" w:rsidP="00E807E9">
      <w:pPr>
        <w:pStyle w:val="ListParagraph"/>
        <w:framePr w:hSpace="180" w:wrap="around" w:vAnchor="text" w:hAnchor="margin" w:xAlign="center" w:y="338"/>
        <w:numPr>
          <w:ilvl w:val="0"/>
          <w:numId w:val="1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Պատվիրատուի առաջին իսկ պահանջի դեպքում ներկայացնել ամենօրյա հաշվետվություն՝ կատարված աշխատանքների համար։</w:t>
      </w:r>
    </w:p>
    <w:p w:rsidR="00E807E9" w:rsidRPr="000E0847" w:rsidRDefault="00E807E9" w:rsidP="00E807E9">
      <w:pPr>
        <w:framePr w:hSpace="180" w:wrap="around" w:vAnchor="text" w:hAnchor="margin" w:xAlign="center" w:y="338"/>
        <w:spacing w:line="256" w:lineRule="auto"/>
        <w:jc w:val="both"/>
        <w:rPr>
          <w:rFonts w:cs="Sylfaen"/>
          <w:sz w:val="20"/>
          <w:szCs w:val="20"/>
          <w:lang w:val="hy-AM"/>
        </w:rPr>
      </w:pPr>
    </w:p>
    <w:p w:rsidR="00E807E9" w:rsidRDefault="00E807E9" w:rsidP="00E807E9">
      <w:pPr>
        <w:jc w:val="center"/>
        <w:rPr>
          <w:rFonts w:cs="Sylfaen"/>
          <w:b/>
          <w:i/>
          <w:sz w:val="20"/>
          <w:szCs w:val="20"/>
          <w:lang w:val="hy-AM"/>
        </w:rPr>
      </w:pPr>
      <w:r w:rsidRPr="000E0847">
        <w:rPr>
          <w:rFonts w:cs="Sylfaen"/>
          <w:b/>
          <w:i/>
          <w:sz w:val="20"/>
          <w:szCs w:val="20"/>
          <w:lang w:val="hy-AM"/>
        </w:rPr>
        <w:t>Վերը նշված 1-10 կետերից որևէ մեկը չկատարելու դեպքում Պատվիրատուն կհամարի աշխատանքները չկատարված և միակողմանի կլուծարի պայմանագիրը։</w:t>
      </w:r>
    </w:p>
    <w:p w:rsidR="00E807E9" w:rsidRDefault="00E807E9" w:rsidP="00E807E9">
      <w:pPr>
        <w:jc w:val="center"/>
        <w:rPr>
          <w:rFonts w:cs="Sylfaen"/>
          <w:b/>
          <w:i/>
          <w:sz w:val="20"/>
          <w:szCs w:val="20"/>
          <w:lang w:val="hy-AM"/>
        </w:rPr>
      </w:pPr>
    </w:p>
    <w:p w:rsidR="00E807E9" w:rsidRDefault="00E807E9" w:rsidP="00E807E9">
      <w:pPr>
        <w:jc w:val="center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sz w:val="20"/>
          <w:szCs w:val="20"/>
          <w:lang w:val="hy-AM"/>
        </w:rPr>
        <w:t>Պարտադիր կատարվող աշխատանքներ</w:t>
      </w:r>
    </w:p>
    <w:p w:rsidR="00E807E9" w:rsidRPr="000E0847" w:rsidRDefault="00E807E9" w:rsidP="00E807E9">
      <w:pPr>
        <w:spacing w:line="256" w:lineRule="auto"/>
        <w:rPr>
          <w:rFonts w:cs="Sylfaen"/>
          <w:b/>
          <w:sz w:val="20"/>
          <w:szCs w:val="20"/>
          <w:lang w:val="hy-AM"/>
        </w:rPr>
      </w:pPr>
      <w:r w:rsidRPr="000E0847">
        <w:rPr>
          <w:rFonts w:cs="Sylfaen"/>
          <w:b/>
          <w:sz w:val="20"/>
          <w:szCs w:val="20"/>
          <w:lang w:val="hy-AM"/>
        </w:rPr>
        <w:t>Հիմնական միջոցների գույքագրում</w:t>
      </w:r>
    </w:p>
    <w:p w:rsidR="00E807E9" w:rsidRPr="000E0847" w:rsidRDefault="00E807E9" w:rsidP="00E807E9">
      <w:pPr>
        <w:spacing w:line="256" w:lineRule="auto"/>
        <w:jc w:val="both"/>
        <w:rPr>
          <w:b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jc w:val="both"/>
        <w:rPr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Աշխատանքների արդյունքը պետք է ամփոփվի հետևյալ գործողություններով՝ տրամադրվեն հաշվետվություններ և տեղեկագրեր ըստ փաստացի հավաքագրված գույքացանկերի և դրանց նյութական պատասխանատուների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pStyle w:val="ListParagraph"/>
        <w:numPr>
          <w:ilvl w:val="0"/>
          <w:numId w:val="2"/>
        </w:numPr>
        <w:spacing w:after="0" w:line="256" w:lineRule="auto"/>
        <w:ind w:left="325" w:hanging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sz w:val="20"/>
          <w:szCs w:val="20"/>
          <w:lang w:val="hy-AM"/>
        </w:rPr>
        <w:t>Հիմնական միջոցների գույքագրում՝ համաձայն ՖՀՄՍ</w:t>
      </w:r>
    </w:p>
    <w:p w:rsidR="00E807E9" w:rsidRPr="000E0847" w:rsidRDefault="00E807E9" w:rsidP="00E807E9">
      <w:pPr>
        <w:pStyle w:val="ListParagraph"/>
        <w:spacing w:line="256" w:lineRule="auto"/>
        <w:ind w:left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Աշխատանքների արդյունքը պետք է ամփոփվի հետևյալ գործողություններով՝</w:t>
      </w:r>
    </w:p>
    <w:p w:rsidR="00E807E9" w:rsidRPr="000E0847" w:rsidRDefault="00E807E9" w:rsidP="00E807E9">
      <w:pPr>
        <w:spacing w:line="256" w:lineRule="auto"/>
        <w:ind w:left="41"/>
        <w:jc w:val="both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1.1</w:t>
      </w:r>
      <w:r w:rsidRPr="000E0847">
        <w:rPr>
          <w:sz w:val="20"/>
          <w:szCs w:val="20"/>
          <w:lang w:val="hy-AM"/>
        </w:rPr>
        <w:t xml:space="preserve"> </w:t>
      </w:r>
      <w:r w:rsidRPr="000E0847">
        <w:rPr>
          <w:b/>
          <w:sz w:val="20"/>
          <w:szCs w:val="20"/>
          <w:lang w:val="hy-AM"/>
        </w:rPr>
        <w:t>Տրամադրել հաշվետվություն (Գույքագրման արդյունքների վերաբերյալ Տեղեկագիր N 01)</w:t>
      </w:r>
      <w:r w:rsidRPr="000E0847">
        <w:rPr>
          <w:sz w:val="20"/>
          <w:szCs w:val="20"/>
          <w:lang w:val="hy-AM"/>
        </w:rPr>
        <w:t>։ Համաձայն ՖՀՄՍ և ներկայացված համապատասխան տվյալների հիման վրա կատարել հիմնական միջոցների միավորների՝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325" w:hanging="325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Ֆիզիկական վիճակների որոշում,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325" w:hanging="325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Ճանաչում-ապաճանաչում,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325" w:hanging="325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Չափում՝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ճանաչման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պահին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325" w:hanging="325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Չափում՝ ճանաչումից հետո,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608" w:hanging="608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Տրոհում / Միավորում ըստ պատվիրատուի պահանջի (Ենթակայանների կամ այլ խմբավորված սարքեր-սարքավորումների),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608" w:hanging="608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Ֆոտոնկարահանում,</w:t>
      </w:r>
    </w:p>
    <w:p w:rsidR="00E807E9" w:rsidRPr="000E0847" w:rsidRDefault="00E807E9" w:rsidP="00E807E9">
      <w:pPr>
        <w:pStyle w:val="ListParagraph"/>
        <w:numPr>
          <w:ilvl w:val="2"/>
          <w:numId w:val="3"/>
        </w:numPr>
        <w:spacing w:after="0" w:line="256" w:lineRule="auto"/>
        <w:ind w:left="608" w:hanging="608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lastRenderedPageBreak/>
        <w:t>Էլեկտրոնային դասակարգչի մշակում, որն իր մեջ պետք է պարունակի հետևյալ տեղեկությունները յուրաքանչյուր հիմնական միջոցի համար՝</w:t>
      </w:r>
    </w:p>
    <w:p w:rsidR="00E807E9" w:rsidRPr="000E0847" w:rsidRDefault="00E807E9" w:rsidP="00E807E9">
      <w:pPr>
        <w:pStyle w:val="ListParagraph"/>
        <w:numPr>
          <w:ilvl w:val="3"/>
          <w:numId w:val="4"/>
        </w:numPr>
        <w:spacing w:after="0" w:line="256" w:lineRule="auto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հիմնական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միջոցի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ճշտված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անվանում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3"/>
          <w:numId w:val="4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ֆիզիկական վիճակը,</w:t>
      </w:r>
    </w:p>
    <w:p w:rsidR="00E807E9" w:rsidRPr="000E0847" w:rsidRDefault="00E807E9" w:rsidP="00E807E9">
      <w:pPr>
        <w:pStyle w:val="ListParagraph"/>
        <w:spacing w:line="256" w:lineRule="auto"/>
        <w:ind w:left="892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bCs/>
          <w:sz w:val="20"/>
          <w:szCs w:val="20"/>
          <w:lang w:val="hy-AM"/>
        </w:rPr>
        <w:t>1.1.7.3</w:t>
      </w: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     Շահագործման համար պիտանի և հետագա շահագործման համար ոչ պիտանի գույքի(երի) առանձնացում,</w:t>
      </w:r>
    </w:p>
    <w:p w:rsidR="00E807E9" w:rsidRPr="000E0847" w:rsidRDefault="00E807E9" w:rsidP="00E807E9">
      <w:pPr>
        <w:pStyle w:val="ListParagraph"/>
        <w:numPr>
          <w:ilvl w:val="3"/>
          <w:numId w:val="5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չափսերի ճշտում,</w:t>
      </w:r>
    </w:p>
    <w:p w:rsidR="00E807E9" w:rsidRPr="000E0847" w:rsidRDefault="00E807E9" w:rsidP="00E807E9">
      <w:pPr>
        <w:pStyle w:val="ListParagraph"/>
        <w:spacing w:line="256" w:lineRule="auto"/>
        <w:ind w:left="892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bCs/>
          <w:sz w:val="20"/>
          <w:szCs w:val="20"/>
          <w:lang w:val="hy-AM"/>
        </w:rPr>
        <w:t>1.1.7.5</w:t>
      </w: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     Յուրաքանչյուր հիմնական միջոցի՝ սարքեր-սարքավորումների ճշտված պարամետրեր՝ մոդել-մակնիշ, գործարանային համար, արտադրության երկիր և այլն,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ֆիզիկական վիճակի նկարագիր՝ ըստ ֆոտոֆայլերի,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spacing w:after="0" w:line="256" w:lineRule="auto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տեղակայվածություն,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spacing w:after="0" w:line="256" w:lineRule="auto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նյութական պատասխանատու անձերի ճշտում, համաձայնեցում, ստորագրված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հավելվածների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հաստատում՝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օրինակելի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ձևերի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spacing w:after="0" w:line="256" w:lineRule="auto"/>
        <w:ind w:left="892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    Յուրաքանչյուր հիմնական միջոցի դասակարգում՝ ըստ դասերի,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92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դասակարգում՝ ըստ հաշվային պլանի,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92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դասակարգում ըստ նորմատիվ օգտակար ծառայության ժամկետների,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92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Յուրաքանչյուր հիմնական միջոցի մնացորդային օգտակար ծառայության ժամկետի որոշում,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88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Գույքային համարների որոշում՝ համաձայնելնելով պատվիրատուի հետ,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88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 Հիմնական միջոցների շտրիխ-կոդավորում՝ ըստ գույքահամարների,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92" w:firstLine="3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QR-կոդավորման պիտակը պետք է պարունակի հիմնական միջոցի վերաբերյալ հետևյալ ինֆորմացիան՝</w:t>
      </w:r>
    </w:p>
    <w:p w:rsidR="00E807E9" w:rsidRPr="000E0847" w:rsidRDefault="00E807E9" w:rsidP="00E807E9">
      <w:pPr>
        <w:pStyle w:val="ListParagraph"/>
        <w:numPr>
          <w:ilvl w:val="0"/>
          <w:numId w:val="7"/>
        </w:numPr>
        <w:tabs>
          <w:tab w:val="left" w:pos="1029"/>
        </w:tabs>
        <w:spacing w:after="0" w:line="256" w:lineRule="auto"/>
        <w:ind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Տեղակայվածություն,</w:t>
      </w:r>
    </w:p>
    <w:p w:rsidR="00E807E9" w:rsidRPr="000E0847" w:rsidRDefault="00E807E9" w:rsidP="00E807E9">
      <w:pPr>
        <w:pStyle w:val="ListParagraph"/>
        <w:numPr>
          <w:ilvl w:val="0"/>
          <w:numId w:val="7"/>
        </w:numPr>
        <w:tabs>
          <w:tab w:val="left" w:pos="1029"/>
        </w:tabs>
        <w:spacing w:after="0" w:line="256" w:lineRule="auto"/>
        <w:ind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Կազմակերպության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0"/>
          <w:numId w:val="7"/>
        </w:numPr>
        <w:tabs>
          <w:tab w:val="left" w:pos="1029"/>
        </w:tabs>
        <w:spacing w:after="0" w:line="256" w:lineRule="auto"/>
        <w:ind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ամբողջական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0"/>
          <w:numId w:val="7"/>
        </w:numPr>
        <w:tabs>
          <w:tab w:val="left" w:pos="1029"/>
        </w:tabs>
        <w:spacing w:after="0" w:line="256" w:lineRule="auto"/>
        <w:ind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Գույքը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ճշտված</w:t>
      </w:r>
      <w:r w:rsidRPr="000E084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0847">
        <w:rPr>
          <w:rFonts w:ascii="GHEA Grapalat" w:hAnsi="GHEA Grapalat" w:cs="Sylfaen"/>
          <w:sz w:val="20"/>
          <w:szCs w:val="20"/>
          <w:lang w:val="hy-AM"/>
        </w:rPr>
        <w:t>մոդել</w:t>
      </w:r>
      <w:r w:rsidRPr="000E0847">
        <w:rPr>
          <w:rFonts w:ascii="GHEA Grapalat" w:hAnsi="GHEA Grapalat"/>
          <w:sz w:val="20"/>
          <w:szCs w:val="20"/>
          <w:lang w:val="hy-AM"/>
        </w:rPr>
        <w:t>-</w:t>
      </w:r>
      <w:r w:rsidRPr="000E0847">
        <w:rPr>
          <w:rFonts w:ascii="GHEA Grapalat" w:hAnsi="GHEA Grapalat" w:cs="Sylfaen"/>
          <w:sz w:val="20"/>
          <w:szCs w:val="20"/>
          <w:lang w:val="hy-AM"/>
        </w:rPr>
        <w:t>մակնիշը</w:t>
      </w:r>
      <w:r w:rsidRPr="000E0847">
        <w:rPr>
          <w:rFonts w:ascii="GHEA Grapalat" w:hAnsi="GHEA Grapalat"/>
          <w:sz w:val="20"/>
          <w:szCs w:val="20"/>
          <w:lang w:val="hy-AM"/>
        </w:rPr>
        <w:t>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92"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Հաշվապահական հաշվառման մեթոդական օգնություն,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88" w:firstLine="3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 xml:space="preserve">Սեփականության վկայականների չափերի և նշանակության փաստացի ճշտում, խորհրդատվություն,  </w:t>
      </w:r>
    </w:p>
    <w:p w:rsidR="00E807E9" w:rsidRPr="000E0847" w:rsidRDefault="00E807E9" w:rsidP="00E807E9">
      <w:pPr>
        <w:pStyle w:val="ListParagraph"/>
        <w:numPr>
          <w:ilvl w:val="3"/>
          <w:numId w:val="6"/>
        </w:numPr>
        <w:tabs>
          <w:tab w:val="left" w:pos="1029"/>
        </w:tabs>
        <w:spacing w:after="0" w:line="256" w:lineRule="auto"/>
        <w:ind w:left="888" w:firstLine="3"/>
        <w:jc w:val="both"/>
        <w:rPr>
          <w:rFonts w:ascii="GHEA Grapalat" w:hAnsi="GHEA Grapalat"/>
          <w:sz w:val="20"/>
          <w:szCs w:val="20"/>
          <w:lang w:val="hy-AM"/>
        </w:rPr>
      </w:pPr>
      <w:r w:rsidRPr="000E0847">
        <w:rPr>
          <w:rFonts w:ascii="GHEA Grapalat" w:hAnsi="GHEA Grapalat"/>
          <w:sz w:val="20"/>
          <w:szCs w:val="20"/>
          <w:lang w:val="hy-AM"/>
        </w:rPr>
        <w:t>Գույքագրման արդյունքների վերաբերյալ ՏԵՂԵԿԱԳՐԻ ՏՐԱՄԱԴՐՈՒՄ (</w:t>
      </w:r>
      <w:r w:rsidRPr="000E0847">
        <w:rPr>
          <w:rFonts w:ascii="GHEA Grapalat" w:hAnsi="GHEA Grapalat"/>
          <w:b/>
          <w:sz w:val="20"/>
          <w:szCs w:val="20"/>
          <w:lang w:val="hy-AM"/>
        </w:rPr>
        <w:t>Գույքագրման արդյունքների վերաբերյալ Տեղեկագիր N 01</w:t>
      </w:r>
      <w:r w:rsidRPr="000E0847">
        <w:rPr>
          <w:rFonts w:ascii="GHEA Grapalat" w:hAnsi="GHEA Grapalat"/>
          <w:sz w:val="20"/>
          <w:szCs w:val="20"/>
          <w:lang w:val="hy-AM"/>
        </w:rPr>
        <w:t>)` ըստ օրինակելի ձևերի, կառուցվածքային միավորների և նյութական պատասխանատուների ցուցակի՝ համաձայն ՀՀ Ֆինանսների և էկոնոմիկայի նախարարության 02.06.2000թ. թիվ 102 հրամանով հաստատված «Կազմակերպությունների ակտիվների և պարտավորությունների պարտադիր գույքագրման կարգի», ինչպես նաև ՀՀ կառավարության 2010թ մարտի 11-ի թիվ 235-Ն որոշմամբ հրապարակված ֆինանսական հաշվետվությունների միջազգային ստանդարտների դրույթների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rFonts w:cs="Sylfaen"/>
          <w:sz w:val="20"/>
          <w:szCs w:val="20"/>
          <w:lang w:val="hy-AM"/>
        </w:rPr>
        <w:t>------------------------------------------------------------------------</w:t>
      </w:r>
    </w:p>
    <w:p w:rsidR="00E807E9" w:rsidRPr="000E0847" w:rsidRDefault="00E807E9" w:rsidP="00E807E9">
      <w:pPr>
        <w:pStyle w:val="ListParagraph"/>
        <w:numPr>
          <w:ilvl w:val="0"/>
          <w:numId w:val="8"/>
        </w:numPr>
        <w:spacing w:after="0" w:line="256" w:lineRule="auto"/>
        <w:ind w:left="321" w:hanging="284"/>
        <w:rPr>
          <w:rFonts w:ascii="GHEA Grapalat" w:hAnsi="GHEA Grapalat"/>
          <w:b/>
          <w:sz w:val="20"/>
          <w:szCs w:val="20"/>
          <w:lang w:val="hy-AM"/>
        </w:rPr>
      </w:pPr>
      <w:r w:rsidRPr="000E0847">
        <w:rPr>
          <w:rFonts w:ascii="GHEA Grapalat" w:hAnsi="GHEA Grapalat"/>
          <w:b/>
          <w:sz w:val="20"/>
          <w:szCs w:val="20"/>
          <w:lang w:val="hy-AM"/>
        </w:rPr>
        <w:t>Հիմնական միջոցներ թվով  մոտ</w:t>
      </w:r>
      <w:r>
        <w:rPr>
          <w:rFonts w:ascii="GHEA Grapalat" w:hAnsi="GHEA Grapalat"/>
          <w:b/>
          <w:sz w:val="20"/>
          <w:szCs w:val="20"/>
          <w:lang w:val="hy-AM"/>
        </w:rPr>
        <w:t>ավորապես</w:t>
      </w:r>
      <w:r w:rsidRPr="000E0847">
        <w:rPr>
          <w:rFonts w:ascii="GHEA Grapalat" w:hAnsi="GHEA Grapalat"/>
          <w:b/>
          <w:sz w:val="20"/>
          <w:szCs w:val="20"/>
          <w:lang w:val="hy-AM"/>
        </w:rPr>
        <w:t xml:space="preserve"> 7000 հատ / քմ/մ</w:t>
      </w:r>
    </w:p>
    <w:p w:rsidR="00E807E9" w:rsidRPr="000E0847" w:rsidRDefault="00E807E9" w:rsidP="00E807E9">
      <w:pPr>
        <w:pStyle w:val="ListParagraph"/>
        <w:numPr>
          <w:ilvl w:val="0"/>
          <w:numId w:val="9"/>
        </w:numPr>
        <w:spacing w:after="0" w:line="256" w:lineRule="auto"/>
        <w:ind w:left="321" w:firstLine="0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տրանսպորտային միջոցներ</w:t>
      </w:r>
      <w:r w:rsidRPr="000E0847">
        <w:rPr>
          <w:rFonts w:ascii="GHEA Grapalat" w:hAnsi="GHEA Grapalat" w:cs="Sylfaen"/>
          <w:sz w:val="20"/>
          <w:szCs w:val="20"/>
        </w:rPr>
        <w:t>,</w:t>
      </w:r>
    </w:p>
    <w:p w:rsidR="00E807E9" w:rsidRPr="000E0847" w:rsidRDefault="00E807E9" w:rsidP="00E807E9">
      <w:pPr>
        <w:pStyle w:val="ListParagraph"/>
        <w:numPr>
          <w:ilvl w:val="0"/>
          <w:numId w:val="9"/>
        </w:numPr>
        <w:spacing w:after="0" w:line="256" w:lineRule="auto"/>
        <w:ind w:left="321" w:firstLine="0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սարքեր-սարքավորումներ,</w:t>
      </w:r>
    </w:p>
    <w:p w:rsidR="00E807E9" w:rsidRPr="000E0847" w:rsidRDefault="00E807E9" w:rsidP="00E807E9">
      <w:pPr>
        <w:pStyle w:val="ListParagraph"/>
        <w:numPr>
          <w:ilvl w:val="0"/>
          <w:numId w:val="9"/>
        </w:numPr>
        <w:spacing w:after="0" w:line="256" w:lineRule="auto"/>
        <w:ind w:left="321" w:firstLine="0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>արտադրատնտեսական գույք,</w:t>
      </w:r>
    </w:p>
    <w:p w:rsidR="00E807E9" w:rsidRPr="000E0847" w:rsidRDefault="00E807E9" w:rsidP="00E807E9">
      <w:pPr>
        <w:pStyle w:val="ListParagraph"/>
        <w:numPr>
          <w:ilvl w:val="0"/>
          <w:numId w:val="9"/>
        </w:numPr>
        <w:spacing w:after="0" w:line="256" w:lineRule="auto"/>
        <w:ind w:left="321" w:firstLine="0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փոխանցող միջոցներ, 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sz w:val="20"/>
          <w:szCs w:val="20"/>
          <w:lang w:val="hy-AM"/>
        </w:rPr>
        <w:t>------------------------------------------------------------------------</w:t>
      </w:r>
    </w:p>
    <w:p w:rsidR="00E807E9" w:rsidRPr="000E0847" w:rsidRDefault="00E807E9" w:rsidP="00E807E9">
      <w:pPr>
        <w:pStyle w:val="ListParagraph"/>
        <w:spacing w:line="256" w:lineRule="auto"/>
        <w:ind w:left="462" w:hanging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807E9" w:rsidRPr="000E0847" w:rsidRDefault="00E807E9" w:rsidP="00E807E9">
      <w:pPr>
        <w:pStyle w:val="ListParagraph"/>
        <w:numPr>
          <w:ilvl w:val="0"/>
          <w:numId w:val="8"/>
        </w:numPr>
        <w:spacing w:after="0" w:line="256" w:lineRule="auto"/>
        <w:ind w:left="321" w:hanging="284"/>
        <w:rPr>
          <w:rFonts w:ascii="GHEA Grapalat" w:hAnsi="GHEA Grapalat" w:cs="Sylfaen"/>
          <w:b/>
          <w:sz w:val="20"/>
          <w:szCs w:val="20"/>
          <w:lang w:val="hy-AM"/>
        </w:rPr>
      </w:pPr>
      <w:r w:rsidRPr="000E0847">
        <w:rPr>
          <w:rFonts w:ascii="GHEA Grapalat" w:hAnsi="GHEA Grapalat"/>
          <w:b/>
          <w:sz w:val="20"/>
          <w:szCs w:val="20"/>
          <w:lang w:val="hy-AM"/>
        </w:rPr>
        <w:t>Շտրիխ</w:t>
      </w:r>
      <w:r w:rsidRPr="000E0847">
        <w:rPr>
          <w:rFonts w:ascii="GHEA Grapalat" w:hAnsi="GHEA Grapalat" w:cs="Sylfaen"/>
          <w:b/>
          <w:sz w:val="20"/>
          <w:szCs w:val="20"/>
          <w:lang w:val="hy-AM"/>
        </w:rPr>
        <w:t>-կոդավորում</w:t>
      </w:r>
    </w:p>
    <w:p w:rsidR="00E807E9" w:rsidRPr="000E0847" w:rsidRDefault="00E807E9" w:rsidP="00E807E9">
      <w:pPr>
        <w:spacing w:line="256" w:lineRule="auto"/>
        <w:rPr>
          <w:b/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lastRenderedPageBreak/>
        <w:t>Աշխատանքների արդյունքը պետք է ամփոփվի հետևյալ գործողություններով՝</w:t>
      </w:r>
    </w:p>
    <w:p w:rsidR="00E807E9" w:rsidRPr="000E0847" w:rsidRDefault="00E807E9" w:rsidP="00E807E9">
      <w:pPr>
        <w:spacing w:line="256" w:lineRule="auto"/>
        <w:ind w:left="37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2.1</w:t>
      </w:r>
      <w:r w:rsidRPr="000E0847">
        <w:rPr>
          <w:rFonts w:cs="Sylfaen"/>
          <w:sz w:val="20"/>
          <w:szCs w:val="20"/>
          <w:lang w:val="hy-AM"/>
        </w:rPr>
        <w:t xml:space="preserve"> QR-կոդավորման պիտակները պետք է համապատասխանեն հետևյալ տեխնիկական տվյաներին՝</w:t>
      </w:r>
    </w:p>
    <w:p w:rsidR="00E807E9" w:rsidRPr="000E0847" w:rsidRDefault="00E807E9" w:rsidP="00E807E9">
      <w:pPr>
        <w:pStyle w:val="ListParagraph"/>
        <w:numPr>
          <w:ilvl w:val="2"/>
          <w:numId w:val="10"/>
        </w:numPr>
        <w:spacing w:after="0" w:line="256" w:lineRule="auto"/>
        <w:ind w:left="1047" w:hanging="301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Ջերմային ժապավեն 110մմ × 90մ, </w:t>
      </w:r>
    </w:p>
    <w:p w:rsidR="00E807E9" w:rsidRPr="000E0847" w:rsidRDefault="00E807E9" w:rsidP="00E807E9">
      <w:pPr>
        <w:pStyle w:val="ListParagraph"/>
        <w:numPr>
          <w:ilvl w:val="2"/>
          <w:numId w:val="10"/>
        </w:numPr>
        <w:spacing w:after="0" w:line="256" w:lineRule="auto"/>
        <w:ind w:left="1047" w:hanging="301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sz w:val="20"/>
          <w:szCs w:val="20"/>
          <w:lang w:val="hy-AM"/>
        </w:rPr>
        <w:t xml:space="preserve">Մետաղական արծաթափայլ պիտակներ 58մմ × 30մմ, </w:t>
      </w:r>
    </w:p>
    <w:p w:rsidR="00E807E9" w:rsidRPr="000E0847" w:rsidRDefault="00E807E9" w:rsidP="00E807E9">
      <w:pPr>
        <w:spacing w:line="256" w:lineRule="auto"/>
        <w:ind w:left="37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2.2</w:t>
      </w:r>
      <w:r w:rsidRPr="000E0847">
        <w:rPr>
          <w:rFonts w:cs="Sylfaen"/>
          <w:sz w:val="20"/>
          <w:szCs w:val="20"/>
          <w:lang w:val="hy-AM"/>
        </w:rPr>
        <w:t xml:space="preserve"> QR կոդերի փակցնում,</w:t>
      </w:r>
    </w:p>
    <w:p w:rsidR="00E807E9" w:rsidRPr="000E0847" w:rsidRDefault="00E807E9" w:rsidP="00E807E9">
      <w:pPr>
        <w:spacing w:line="256" w:lineRule="auto"/>
        <w:ind w:left="37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2.3</w:t>
      </w:r>
      <w:r w:rsidRPr="000E0847">
        <w:rPr>
          <w:rFonts w:cs="Sylfaen"/>
          <w:sz w:val="20"/>
          <w:szCs w:val="20"/>
          <w:lang w:val="hy-AM"/>
        </w:rPr>
        <w:t xml:space="preserve"> Գույքագրված հիմնական միջոցների QR-կոդերի պատրաստում՝ նախապես կազմված գույքահամարներով և տպագրում,</w:t>
      </w:r>
    </w:p>
    <w:p w:rsidR="00E807E9" w:rsidRPr="000E0847" w:rsidRDefault="00E807E9" w:rsidP="00E807E9">
      <w:pPr>
        <w:spacing w:line="256" w:lineRule="auto"/>
        <w:ind w:left="37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2.4</w:t>
      </w:r>
      <w:r w:rsidRPr="000E0847">
        <w:rPr>
          <w:rFonts w:cs="Sylfaen"/>
          <w:sz w:val="20"/>
          <w:szCs w:val="20"/>
          <w:lang w:val="hy-AM"/>
        </w:rPr>
        <w:t xml:space="preserve"> QR-կոդերի պիտակներով հիմնական միջոցների փակցնում,</w:t>
      </w:r>
    </w:p>
    <w:p w:rsidR="00E807E9" w:rsidRPr="000E0847" w:rsidRDefault="00E807E9" w:rsidP="00E807E9">
      <w:pPr>
        <w:spacing w:line="256" w:lineRule="auto"/>
        <w:ind w:left="37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2.5</w:t>
      </w:r>
      <w:r w:rsidRPr="000E0847">
        <w:rPr>
          <w:rFonts w:cs="Sylfaen"/>
          <w:sz w:val="20"/>
          <w:szCs w:val="20"/>
          <w:lang w:val="hy-AM"/>
        </w:rPr>
        <w:t xml:space="preserve"> Հիմնական միջոցները QR-կոդերի պիտակներով  փակցնելուց հետո ֆոտոնկարահանում,</w:t>
      </w:r>
    </w:p>
    <w:p w:rsidR="00E807E9" w:rsidRPr="000E0847" w:rsidRDefault="00E807E9" w:rsidP="00E807E9">
      <w:pPr>
        <w:pStyle w:val="ListParagraph"/>
        <w:numPr>
          <w:ilvl w:val="0"/>
          <w:numId w:val="8"/>
        </w:numPr>
        <w:spacing w:after="0" w:line="256" w:lineRule="auto"/>
        <w:ind w:left="321" w:hanging="284"/>
        <w:rPr>
          <w:rFonts w:ascii="GHEA Grapalat" w:hAnsi="GHEA Grapalat" w:cs="Sylfaen"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sz w:val="20"/>
          <w:szCs w:val="20"/>
          <w:lang w:val="hy-AM"/>
        </w:rPr>
        <w:t>Բացահայտում՝ ըստ ՖՀՄՍ 36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4. Աշխատանքների արդյունքը պետք է ամփոփվի հետևյալ գործողություններով՝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4.1 Տրամադրել հաշվետվություն (Գույքագրման արդյունքների վերաբերյալ Տեղեկագիր N 01)</w:t>
      </w:r>
      <w:r w:rsidRPr="000E0847">
        <w:rPr>
          <w:sz w:val="20"/>
          <w:szCs w:val="20"/>
          <w:lang w:val="hy-AM"/>
        </w:rPr>
        <w:t>՝ համաձայն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4.2</w:t>
      </w:r>
      <w:r w:rsidRPr="000E0847">
        <w:rPr>
          <w:sz w:val="20"/>
          <w:szCs w:val="20"/>
          <w:lang w:val="hy-AM"/>
        </w:rPr>
        <w:t xml:space="preserve"> ՖՀՄՍ և ներկայացված համապատասխան տվյալների հիման վրա հիմնական միջոցների  միավորների  մասին,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4.3</w:t>
      </w:r>
      <w:r w:rsidRPr="000E0847">
        <w:rPr>
          <w:sz w:val="20"/>
          <w:szCs w:val="20"/>
          <w:lang w:val="hy-AM"/>
        </w:rPr>
        <w:t xml:space="preserve"> Ֆիզիկական վիճակների որոշում,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4.4</w:t>
      </w:r>
      <w:r w:rsidRPr="000E0847">
        <w:rPr>
          <w:sz w:val="20"/>
          <w:szCs w:val="20"/>
          <w:lang w:val="hy-AM"/>
        </w:rPr>
        <w:t xml:space="preserve"> Ճանաչում-ապաճանաչում,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4.5</w:t>
      </w:r>
      <w:r w:rsidRPr="000E0847">
        <w:rPr>
          <w:rFonts w:cs="Sylfaen"/>
          <w:sz w:val="20"/>
          <w:szCs w:val="20"/>
          <w:lang w:val="hy-AM"/>
        </w:rPr>
        <w:t xml:space="preserve"> Չափում՝</w:t>
      </w:r>
      <w:r w:rsidRPr="000E0847">
        <w:rPr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ճանաչման</w:t>
      </w:r>
      <w:r w:rsidRPr="000E0847">
        <w:rPr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պահին</w:t>
      </w:r>
      <w:r w:rsidRPr="000E0847">
        <w:rPr>
          <w:sz w:val="20"/>
          <w:szCs w:val="20"/>
          <w:lang w:val="hy-AM"/>
        </w:rPr>
        <w:t xml:space="preserve">, 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4.6</w:t>
      </w:r>
      <w:r w:rsidRPr="000E0847">
        <w:rPr>
          <w:sz w:val="20"/>
          <w:szCs w:val="20"/>
          <w:lang w:val="hy-AM"/>
        </w:rPr>
        <w:t xml:space="preserve"> Չափում՝ ճանաչումից հետո,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0E0847">
        <w:rPr>
          <w:b/>
          <w:bCs/>
          <w:sz w:val="20"/>
          <w:szCs w:val="20"/>
          <w:lang w:val="hy-AM"/>
        </w:rPr>
        <w:t>4.7</w:t>
      </w:r>
      <w:r w:rsidRPr="000E0847">
        <w:rPr>
          <w:sz w:val="20"/>
          <w:szCs w:val="20"/>
          <w:lang w:val="hy-AM"/>
        </w:rPr>
        <w:t xml:space="preserve"> Տրոհում / Միավորում՝ ըստ պատվիրատուի պահանջի (Ենթակայանների կամ այլ խմբավորված սարքեր-սարքավորումների),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  <w:r w:rsidRPr="001C2773">
        <w:rPr>
          <w:rFonts w:cs="Sylfaen"/>
          <w:b/>
          <w:bCs/>
          <w:sz w:val="20"/>
          <w:szCs w:val="20"/>
          <w:lang w:val="hy-AM"/>
        </w:rPr>
        <w:t>4.8</w:t>
      </w:r>
      <w:r w:rsidRPr="001C2773">
        <w:rPr>
          <w:rFonts w:cs="Sylfaen"/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Բացահայտում՝</w:t>
      </w:r>
      <w:r w:rsidRPr="000E0847">
        <w:rPr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ըստ</w:t>
      </w:r>
      <w:r w:rsidRPr="000E0847">
        <w:rPr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ՖՀՄՍ</w:t>
      </w:r>
      <w:r w:rsidRPr="000E0847">
        <w:rPr>
          <w:sz w:val="20"/>
          <w:szCs w:val="20"/>
          <w:lang w:val="hy-AM"/>
        </w:rPr>
        <w:t xml:space="preserve"> 36,</w:t>
      </w:r>
    </w:p>
    <w:p w:rsidR="00E807E9" w:rsidRPr="000E0847" w:rsidRDefault="00E807E9" w:rsidP="00E807E9">
      <w:pPr>
        <w:spacing w:line="256" w:lineRule="auto"/>
        <w:rPr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ind w:left="37"/>
        <w:rPr>
          <w:rFonts w:cs="Sylfaen"/>
          <w:b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5</w:t>
      </w:r>
      <w:r>
        <w:rPr>
          <w:rFonts w:ascii="Cambria Math" w:hAnsi="Cambria Math" w:cs="Sylfaen"/>
          <w:b/>
          <w:sz w:val="20"/>
          <w:szCs w:val="20"/>
          <w:lang w:val="hy-AM"/>
        </w:rPr>
        <w:t xml:space="preserve">․ </w:t>
      </w:r>
      <w:r w:rsidRPr="000E0847">
        <w:rPr>
          <w:rFonts w:cs="Sylfaen"/>
          <w:b/>
          <w:sz w:val="20"/>
          <w:szCs w:val="20"/>
          <w:lang w:val="hy-AM"/>
        </w:rPr>
        <w:t>Հիմնական միջոցների իրական արժեքի գնահատում՝ համաձայն ՖՀՄՍ 16</w:t>
      </w:r>
    </w:p>
    <w:p w:rsidR="00E807E9" w:rsidRPr="000E0847" w:rsidRDefault="00E807E9" w:rsidP="00E807E9">
      <w:pPr>
        <w:pStyle w:val="ListParagraph"/>
        <w:spacing w:line="256" w:lineRule="auto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jc w:val="center"/>
        <w:rPr>
          <w:b/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Աշխատանքների արդյունքը պետք է ամփոփվի հետևյալ գործողություններով՝</w:t>
      </w:r>
    </w:p>
    <w:p w:rsidR="00E807E9" w:rsidRPr="000E0847" w:rsidRDefault="00E807E9" w:rsidP="00E807E9">
      <w:pPr>
        <w:spacing w:line="256" w:lineRule="auto"/>
        <w:rPr>
          <w:rFonts w:cs="Sylfaen"/>
          <w:b/>
          <w:i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5</w:t>
      </w:r>
      <w:r w:rsidRPr="000E0847">
        <w:rPr>
          <w:rFonts w:cs="Sylfaen"/>
          <w:b/>
          <w:sz w:val="20"/>
          <w:szCs w:val="20"/>
          <w:lang w:val="hy-AM"/>
        </w:rPr>
        <w:t xml:space="preserve">.1 Մեքենա-սարքավորումներ, տրանսպորտային միջոցներ, շարժասանդուղքներ, փոխանցող միջոցներ, արտադրատնտեսական գույք, այլ  հիմնական միջոցների </w:t>
      </w:r>
      <w:r w:rsidRPr="000E0847">
        <w:rPr>
          <w:rFonts w:cs="Sylfaen"/>
          <w:sz w:val="20"/>
          <w:szCs w:val="20"/>
          <w:lang w:val="hy-AM"/>
        </w:rPr>
        <w:t>համար իրական արժեքի գնահատման առանձին հաշվետվության տրամադրում (</w:t>
      </w:r>
      <w:r w:rsidRPr="000E0847">
        <w:rPr>
          <w:rFonts w:cs="Sylfaen"/>
          <w:b/>
          <w:sz w:val="20"/>
          <w:szCs w:val="20"/>
          <w:lang w:val="hy-AM"/>
        </w:rPr>
        <w:t>Հաշվետվություն N 03</w:t>
      </w:r>
      <w:r w:rsidRPr="000E0847">
        <w:rPr>
          <w:rFonts w:cs="Sylfaen"/>
          <w:sz w:val="20"/>
          <w:szCs w:val="20"/>
          <w:lang w:val="hy-AM"/>
        </w:rPr>
        <w:t>)</w:t>
      </w:r>
      <w:r w:rsidRPr="000E0847">
        <w:rPr>
          <w:rFonts w:cs="Sylfaen"/>
          <w:b/>
          <w:i/>
          <w:sz w:val="20"/>
          <w:szCs w:val="20"/>
          <w:lang w:val="hy-AM"/>
        </w:rPr>
        <w:t>՝</w:t>
      </w:r>
    </w:p>
    <w:p w:rsidR="00E807E9" w:rsidRPr="000E0847" w:rsidRDefault="00E807E9" w:rsidP="00E807E9">
      <w:pPr>
        <w:pBdr>
          <w:bottom w:val="single" w:sz="6" w:space="1" w:color="auto"/>
        </w:pBdr>
        <w:spacing w:line="256" w:lineRule="auto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sz w:val="20"/>
          <w:szCs w:val="20"/>
          <w:lang w:val="hy-AM"/>
        </w:rPr>
        <w:t>Շարժական գույքի իրական արժեքի գնատահատում</w:t>
      </w:r>
      <w:r w:rsidRPr="000E0847">
        <w:rPr>
          <w:sz w:val="20"/>
          <w:szCs w:val="20"/>
          <w:lang w:val="hy-AM"/>
        </w:rPr>
        <w:t xml:space="preserve">՝ շուկայի վերլուծության և հավաստի տեղեկության՝ նմանատիպ սարքեր-սարքավորումների, </w:t>
      </w:r>
      <w:r w:rsidRPr="000E0847">
        <w:rPr>
          <w:rFonts w:cs="Sylfaen"/>
          <w:sz w:val="20"/>
          <w:szCs w:val="20"/>
          <w:lang w:val="hy-AM"/>
        </w:rPr>
        <w:t>և այլ</w:t>
      </w:r>
      <w:r w:rsidRPr="000E0847">
        <w:rPr>
          <w:sz w:val="20"/>
          <w:szCs w:val="20"/>
          <w:lang w:val="hy-AM"/>
        </w:rPr>
        <w:t xml:space="preserve"> շարժական գույքի վերաբերյալ առաջարկների, առք ու վաճառքների տեղեկությունների հավաքագրման հիման վրա, որոնց հղումը, ներառումը և կցումը, որպես իրական արժեքի ապացույց հաշվետվության մեջ պարտադիր է։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b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6</w:t>
      </w:r>
      <w:r>
        <w:rPr>
          <w:rFonts w:ascii="Cambria Math" w:hAnsi="Cambria Math" w:cs="Sylfaen"/>
          <w:b/>
          <w:sz w:val="20"/>
          <w:szCs w:val="20"/>
          <w:lang w:val="hy-AM"/>
        </w:rPr>
        <w:t xml:space="preserve">․ </w:t>
      </w:r>
      <w:r w:rsidRPr="000E0847">
        <w:rPr>
          <w:rFonts w:cs="Sylfaen"/>
          <w:b/>
          <w:sz w:val="20"/>
          <w:szCs w:val="20"/>
          <w:lang w:val="hy-AM"/>
        </w:rPr>
        <w:t>Ոչ ընթացիկ ակտիվների ներբեռնում  հաշվապահական ՀԾ ծրագիր</w:t>
      </w:r>
    </w:p>
    <w:p w:rsidR="00E807E9" w:rsidRPr="000E0847" w:rsidRDefault="00E807E9" w:rsidP="00E807E9">
      <w:pPr>
        <w:spacing w:line="256" w:lineRule="auto"/>
        <w:ind w:left="355"/>
        <w:jc w:val="both"/>
        <w:rPr>
          <w:rFonts w:cs="Sylfaen"/>
          <w:b/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Աշխատանքների արդյունքը պետք է ամփոփվի հետևյալ  գործողություններով՝</w:t>
      </w:r>
    </w:p>
    <w:p w:rsidR="00E807E9" w:rsidRPr="000E0847" w:rsidRDefault="00E807E9" w:rsidP="00E807E9">
      <w:pPr>
        <w:spacing w:line="256" w:lineRule="auto"/>
        <w:ind w:left="-39"/>
        <w:jc w:val="both"/>
        <w:rPr>
          <w:rFonts w:cs="Sylfaen"/>
          <w:b/>
          <w:sz w:val="20"/>
          <w:szCs w:val="20"/>
          <w:lang w:val="hy-AM"/>
        </w:rPr>
      </w:pPr>
      <w:r w:rsidRPr="000E0847">
        <w:rPr>
          <w:rFonts w:cs="Sylfaen"/>
          <w:b/>
          <w:sz w:val="20"/>
          <w:szCs w:val="20"/>
          <w:lang w:val="hy-AM"/>
        </w:rPr>
        <w:lastRenderedPageBreak/>
        <w:t>6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>
        <w:rPr>
          <w:rFonts w:ascii="Cambria Math" w:hAnsi="Cambria Math" w:cs="Cambria Math"/>
          <w:b/>
          <w:sz w:val="20"/>
          <w:szCs w:val="20"/>
          <w:lang w:val="hy-AM"/>
        </w:rPr>
        <w:t>1․</w:t>
      </w:r>
      <w:r w:rsidRPr="000E0847">
        <w:rPr>
          <w:rFonts w:cs="Sylfaen"/>
          <w:b/>
          <w:sz w:val="20"/>
          <w:szCs w:val="20"/>
          <w:lang w:val="hy-AM"/>
        </w:rPr>
        <w:t xml:space="preserve"> Գույքագրման </w:t>
      </w:r>
      <w:r>
        <w:rPr>
          <w:rFonts w:cs="Sylfaen"/>
          <w:b/>
          <w:sz w:val="20"/>
          <w:szCs w:val="20"/>
          <w:lang w:val="hy-AM"/>
        </w:rPr>
        <w:t>արդյ</w:t>
      </w:r>
      <w:r w:rsidRPr="000E0847">
        <w:rPr>
          <w:rFonts w:cs="Sylfaen"/>
          <w:b/>
          <w:sz w:val="20"/>
          <w:szCs w:val="20"/>
          <w:lang w:val="hy-AM"/>
        </w:rPr>
        <w:t>ունքների մուտքագրում՝ ՀԾ հաշվապահական ծրագիր՝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b/>
          <w:sz w:val="20"/>
          <w:szCs w:val="20"/>
          <w:lang w:val="hy-AM"/>
        </w:rPr>
      </w:pPr>
      <w:r w:rsidRPr="000E0847">
        <w:rPr>
          <w:rFonts w:cs="Sylfaen"/>
          <w:b/>
          <w:sz w:val="20"/>
          <w:szCs w:val="20"/>
          <w:lang w:val="hy-AM"/>
        </w:rPr>
        <w:t>7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0E0847">
        <w:rPr>
          <w:rFonts w:cs="Sylfaen"/>
          <w:b/>
          <w:sz w:val="20"/>
          <w:szCs w:val="20"/>
          <w:lang w:val="hy-AM"/>
        </w:rPr>
        <w:t xml:space="preserve"> Լուծարվող գույքերի գույքագրում, վերագնահատում, աճուրդի ներկայացում</w:t>
      </w:r>
    </w:p>
    <w:p w:rsidR="00E807E9" w:rsidRPr="000E0847" w:rsidRDefault="00E807E9" w:rsidP="00E807E9">
      <w:pPr>
        <w:pStyle w:val="ListParagraph"/>
        <w:spacing w:line="256" w:lineRule="auto"/>
        <w:ind w:left="480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ind w:firstLine="355"/>
        <w:jc w:val="both"/>
        <w:rPr>
          <w:rFonts w:cs="Sylfaen"/>
          <w:sz w:val="20"/>
          <w:szCs w:val="20"/>
          <w:lang w:val="hy-AM"/>
        </w:rPr>
      </w:pPr>
      <w:r w:rsidRPr="000E0847">
        <w:rPr>
          <w:b/>
          <w:sz w:val="20"/>
          <w:szCs w:val="20"/>
          <w:lang w:val="hy-AM"/>
        </w:rPr>
        <w:t>Աշխատանքների արդյունքը պետք է ամփոփվի հետևյալ գործողություններով՝</w:t>
      </w:r>
    </w:p>
    <w:p w:rsidR="00E807E9" w:rsidRPr="000E0847" w:rsidRDefault="00E807E9" w:rsidP="00E807E9">
      <w:pPr>
        <w:pStyle w:val="ListParagraph"/>
        <w:spacing w:line="256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7</w:t>
      </w:r>
      <w:r w:rsidRPr="000E0847">
        <w:rPr>
          <w:rFonts w:ascii="Cambria Math" w:hAnsi="Cambria Math" w:cs="Sylfaen"/>
          <w:b/>
          <w:bCs/>
          <w:sz w:val="20"/>
          <w:szCs w:val="20"/>
          <w:lang w:val="hy-AM"/>
        </w:rPr>
        <w:t>․1․</w:t>
      </w:r>
      <w:r w:rsidRPr="000E0847">
        <w:rPr>
          <w:rFonts w:cs="Sylfaen"/>
          <w:sz w:val="20"/>
          <w:szCs w:val="20"/>
          <w:lang w:val="hy-AM"/>
        </w:rPr>
        <w:t xml:space="preserve"> Գույքագրման և Վերագնահատման հաշվետվության տրամադրում (</w:t>
      </w:r>
      <w:r w:rsidRPr="000E0847">
        <w:rPr>
          <w:rFonts w:cs="Sylfaen"/>
          <w:b/>
          <w:sz w:val="20"/>
          <w:szCs w:val="20"/>
          <w:lang w:val="hy-AM"/>
        </w:rPr>
        <w:t>Հաշվետվություն N 05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0E0847">
        <w:rPr>
          <w:rFonts w:cs="Sylfaen"/>
          <w:b/>
          <w:sz w:val="20"/>
          <w:szCs w:val="20"/>
          <w:lang w:val="hy-AM"/>
        </w:rPr>
        <w:t>1 և N 05.2</w:t>
      </w:r>
      <w:r w:rsidRPr="000E0847">
        <w:rPr>
          <w:rFonts w:cs="Sylfaen"/>
          <w:sz w:val="20"/>
          <w:szCs w:val="20"/>
          <w:lang w:val="hy-AM"/>
        </w:rPr>
        <w:t>)՝ ազատ շուկայի վերլուծությամբ,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7</w:t>
      </w:r>
      <w:r w:rsidRPr="000E0847">
        <w:rPr>
          <w:rFonts w:ascii="Cambria Math" w:hAnsi="Cambria Math" w:cs="Sylfaen"/>
          <w:b/>
          <w:bCs/>
          <w:sz w:val="20"/>
          <w:szCs w:val="20"/>
          <w:lang w:val="hy-AM"/>
        </w:rPr>
        <w:t>․2․</w:t>
      </w:r>
      <w:r w:rsidRPr="000E0847">
        <w:rPr>
          <w:rFonts w:cs="Sylfaen"/>
          <w:sz w:val="20"/>
          <w:szCs w:val="20"/>
          <w:lang w:val="hy-AM"/>
        </w:rPr>
        <w:t xml:space="preserve"> Վերագնահատված գույքի աճուրդի ներկայացում,                   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7</w:t>
      </w:r>
      <w:r w:rsidRPr="000E0847">
        <w:rPr>
          <w:rFonts w:ascii="Cambria Math" w:hAnsi="Cambria Math" w:cs="Sylfaen"/>
          <w:b/>
          <w:bCs/>
          <w:sz w:val="20"/>
          <w:szCs w:val="20"/>
          <w:lang w:val="hy-AM"/>
        </w:rPr>
        <w:t>․3․</w:t>
      </w:r>
      <w:r w:rsidRPr="000E0847">
        <w:rPr>
          <w:rFonts w:cs="Sylfaen"/>
          <w:sz w:val="20"/>
          <w:szCs w:val="20"/>
          <w:lang w:val="hy-AM"/>
        </w:rPr>
        <w:t xml:space="preserve"> Ֆոտոնկարահանում։</w:t>
      </w:r>
    </w:p>
    <w:p w:rsidR="00E807E9" w:rsidRPr="000E0847" w:rsidRDefault="00E807E9" w:rsidP="00E807E9">
      <w:pPr>
        <w:pBdr>
          <w:bottom w:val="single" w:sz="6" w:space="1" w:color="auto"/>
        </w:pBd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ind w:left="37"/>
        <w:rPr>
          <w:rFonts w:cs="Sylfaen"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8</w:t>
      </w:r>
      <w:r>
        <w:rPr>
          <w:rFonts w:ascii="Cambria Math" w:hAnsi="Cambria Math" w:cs="Sylfaen"/>
          <w:b/>
          <w:sz w:val="20"/>
          <w:szCs w:val="20"/>
          <w:lang w:val="hy-AM"/>
        </w:rPr>
        <w:t xml:space="preserve">․ </w:t>
      </w:r>
      <w:r w:rsidRPr="000E0847">
        <w:rPr>
          <w:rFonts w:cs="Sylfaen"/>
          <w:b/>
          <w:sz w:val="20"/>
          <w:szCs w:val="20"/>
          <w:lang w:val="hy-AM"/>
        </w:rPr>
        <w:t>Ավարտական աշխատանքները Պատվիրատուին են տրամադրվում հետևյալ Հաշվետվություններով՝</w:t>
      </w:r>
    </w:p>
    <w:p w:rsidR="00E807E9" w:rsidRPr="000E0847" w:rsidRDefault="00E807E9" w:rsidP="00E807E9">
      <w:pPr>
        <w:pStyle w:val="ListParagraph"/>
        <w:spacing w:line="256" w:lineRule="auto"/>
        <w:ind w:left="321"/>
        <w:rPr>
          <w:rFonts w:ascii="GHEA Grapalat" w:hAnsi="GHEA Grapalat" w:cs="Sylfaen"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>
        <w:rPr>
          <w:rFonts w:ascii="Cambria Math" w:hAnsi="Cambria Math" w:cs="Cambria Math"/>
          <w:b/>
          <w:sz w:val="20"/>
          <w:szCs w:val="20"/>
          <w:lang w:val="hy-AM"/>
        </w:rPr>
        <w:t>1․</w:t>
      </w:r>
      <w:r w:rsidRPr="000E0847">
        <w:rPr>
          <w:rFonts w:cs="Sylfaen"/>
          <w:b/>
          <w:sz w:val="20"/>
          <w:szCs w:val="20"/>
          <w:lang w:val="hy-AM"/>
        </w:rPr>
        <w:t xml:space="preserve"> Գույքագրման արդյունքների վերաբերյալ Տեղեկագիր N 01</w:t>
      </w:r>
      <w:r w:rsidRPr="000E0847">
        <w:rPr>
          <w:rFonts w:cs="Sylfaen"/>
          <w:sz w:val="20"/>
          <w:szCs w:val="20"/>
          <w:lang w:val="hy-AM"/>
        </w:rPr>
        <w:t>, որում պարտադիր նշվում են՝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1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1</w:t>
      </w:r>
      <w:r w:rsidRPr="000E0847">
        <w:rPr>
          <w:rFonts w:cs="Sylfaen"/>
          <w:b/>
          <w:sz w:val="20"/>
          <w:szCs w:val="20"/>
          <w:lang w:val="hy-AM"/>
        </w:rPr>
        <w:t xml:space="preserve"> </w:t>
      </w:r>
      <w:r w:rsidRPr="000E0847">
        <w:rPr>
          <w:rFonts w:cs="Sylfaen"/>
          <w:sz w:val="20"/>
          <w:szCs w:val="20"/>
          <w:lang w:val="hy-AM"/>
        </w:rPr>
        <w:t>Հիմնական միջոցների գույքագրման մեթոդոլոգիա (պետք է ներկայացնի կատարողը պայմանագիր կնքելուց առաջ, հակառակ դեպքում պատվիրատուն կարող է հրաժարվել պայմանագիր կնքելուց),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1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2</w:t>
      </w:r>
      <w:r w:rsidRPr="000E0847">
        <w:rPr>
          <w:rFonts w:cs="Sylfaen"/>
          <w:sz w:val="20"/>
          <w:szCs w:val="20"/>
          <w:lang w:val="hy-AM"/>
        </w:rPr>
        <w:t xml:space="preserve"> Հիմնական միջոցների վերաբերյալ տեղեկատվություն՝ կատարված 1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1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1 - 1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7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1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18 կետերով և 4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1-4</w:t>
      </w:r>
      <w:r w:rsidRPr="000E0847">
        <w:rPr>
          <w:rFonts w:ascii="Cambria Math" w:hAnsi="Cambria Math" w:cs="Cambria Math"/>
          <w:sz w:val="20"/>
          <w:szCs w:val="20"/>
          <w:lang w:val="hy-AM"/>
        </w:rPr>
        <w:t>․</w:t>
      </w:r>
      <w:r w:rsidRPr="000E0847">
        <w:rPr>
          <w:rFonts w:cs="Sylfaen"/>
          <w:sz w:val="20"/>
          <w:szCs w:val="20"/>
          <w:lang w:val="hy-AM"/>
        </w:rPr>
        <w:t>7 կետերով նկարագրված աշխատաքների վերաբերյալ,</w:t>
      </w:r>
    </w:p>
    <w:p w:rsidR="00E807E9" w:rsidRPr="000E0847" w:rsidRDefault="00E807E9" w:rsidP="00E807E9">
      <w:pPr>
        <w:spacing w:line="256" w:lineRule="auto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1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3</w:t>
      </w:r>
      <w:r w:rsidRPr="000E0847">
        <w:rPr>
          <w:rFonts w:cs="Sylfaen"/>
          <w:sz w:val="20"/>
          <w:szCs w:val="20"/>
          <w:lang w:val="hy-AM"/>
        </w:rPr>
        <w:t xml:space="preserve"> Առաջարկներ՝ լուծարվող գույքի վերաբերյալ, մեթոդական օգնություն և այլն,</w:t>
      </w:r>
    </w:p>
    <w:p w:rsidR="00E807E9" w:rsidRPr="000E0847" w:rsidRDefault="00E807E9" w:rsidP="00E807E9">
      <w:pPr>
        <w:pStyle w:val="ListParagraph"/>
        <w:spacing w:line="256" w:lineRule="auto"/>
        <w:ind w:left="1224" w:hanging="1190"/>
        <w:rPr>
          <w:rFonts w:ascii="GHEA Grapalat" w:hAnsi="GHEA Grapalat" w:cs="Sylfaen"/>
          <w:b/>
          <w:i/>
          <w:sz w:val="20"/>
          <w:szCs w:val="20"/>
          <w:lang w:val="hy-AM"/>
        </w:rPr>
      </w:pPr>
    </w:p>
    <w:p w:rsidR="00E807E9" w:rsidRPr="000E0847" w:rsidRDefault="00E807E9" w:rsidP="00E807E9">
      <w:pPr>
        <w:pStyle w:val="ListParagraph"/>
        <w:spacing w:line="256" w:lineRule="auto"/>
        <w:ind w:left="1224" w:hanging="1190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0E0847">
        <w:rPr>
          <w:rFonts w:ascii="GHEA Grapalat" w:hAnsi="GHEA Grapalat" w:cs="Sylfaen"/>
          <w:b/>
          <w:i/>
          <w:sz w:val="20"/>
          <w:szCs w:val="20"/>
          <w:lang w:val="hy-AM"/>
        </w:rPr>
        <w:t>Տեղեկագիր N 01  կից տրամադրվում է՝</w:t>
      </w:r>
    </w:p>
    <w:p w:rsidR="00E807E9" w:rsidRPr="000E0847" w:rsidRDefault="00E807E9" w:rsidP="00E807E9">
      <w:pPr>
        <w:pStyle w:val="ListParagraph"/>
        <w:spacing w:line="256" w:lineRule="auto"/>
        <w:ind w:left="1224" w:hanging="1190"/>
        <w:rPr>
          <w:rFonts w:ascii="GHEA Grapalat" w:hAnsi="GHEA Grapalat" w:cs="Sylfaen"/>
          <w:b/>
          <w:i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b/>
          <w:bCs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2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1</w:t>
      </w:r>
      <w:r w:rsidRPr="000E0847">
        <w:rPr>
          <w:rFonts w:cs="Sylfaen"/>
          <w:sz w:val="20"/>
          <w:szCs w:val="20"/>
          <w:lang w:val="hy-AM"/>
        </w:rPr>
        <w:t xml:space="preserve"> Հայտնաբերված Ավելուկ-Պակսորդ գույքի ցանկ՝ համաձայն ՀՀ Ֆինանսների և էկոնոմիկայի նախարարության 02.06.2000թ. թիվ 102 հրամանով հաստատված «Կազմակերպությունների ակտիվների և պարտավորությունների պարտադիր գույքագրման կարգի» Հավելված</w:t>
      </w:r>
      <w:r w:rsidRPr="000E0847">
        <w:rPr>
          <w:rFonts w:ascii="Calibri" w:hAnsi="Calibri" w:cs="Calibri"/>
          <w:sz w:val="20"/>
          <w:szCs w:val="20"/>
          <w:lang w:val="hy-AM"/>
        </w:rPr>
        <w:t> </w:t>
      </w:r>
      <w:r w:rsidRPr="000E0847">
        <w:rPr>
          <w:rFonts w:cs="Sylfaen"/>
          <w:sz w:val="20"/>
          <w:szCs w:val="20"/>
          <w:lang w:val="hy-AM"/>
        </w:rPr>
        <w:t>N 16՝ Ձև N գ-11,</w:t>
      </w:r>
    </w:p>
    <w:p w:rsidR="00E807E9" w:rsidRPr="000E0847" w:rsidRDefault="00E807E9" w:rsidP="00E807E9">
      <w:pPr>
        <w:spacing w:line="256" w:lineRule="auto"/>
        <w:jc w:val="both"/>
        <w:rPr>
          <w:rFonts w:cs="Sylfaen"/>
          <w:sz w:val="20"/>
          <w:szCs w:val="20"/>
          <w:lang w:val="hy-AM"/>
        </w:rPr>
      </w:pPr>
      <w:r w:rsidRPr="000E0847">
        <w:rPr>
          <w:rFonts w:cs="Sylfaen"/>
          <w:b/>
          <w:bCs/>
          <w:sz w:val="20"/>
          <w:szCs w:val="20"/>
          <w:lang w:val="hy-AM"/>
        </w:rPr>
        <w:t>8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2</w:t>
      </w:r>
      <w:r w:rsidRPr="000E0847">
        <w:rPr>
          <w:rFonts w:ascii="Cambria Math" w:hAnsi="Cambria Math" w:cs="Cambria Math"/>
          <w:b/>
          <w:bCs/>
          <w:sz w:val="20"/>
          <w:szCs w:val="20"/>
          <w:lang w:val="hy-AM"/>
        </w:rPr>
        <w:t>․</w:t>
      </w:r>
      <w:r w:rsidRPr="000E0847">
        <w:rPr>
          <w:rFonts w:cs="Sylfaen"/>
          <w:b/>
          <w:bCs/>
          <w:sz w:val="20"/>
          <w:szCs w:val="20"/>
          <w:lang w:val="hy-AM"/>
        </w:rPr>
        <w:t>2</w:t>
      </w:r>
      <w:r w:rsidRPr="000E0847">
        <w:rPr>
          <w:rFonts w:cs="Sylfaen"/>
          <w:sz w:val="20"/>
          <w:szCs w:val="20"/>
          <w:lang w:val="hy-AM"/>
        </w:rPr>
        <w:t xml:space="preserve"> Փաստացի գույքագրված հիմնական միջոցների գույքացուցակ՝ ըստ օրինակելի ձևերի՝ համաձայն ՀՀ Ֆինանսների և էկոնոմիկայի նախարարության 02.06.2000թ. թիվ 102 հրամանով հաստատված «Կազմակերպությունների ակտիվների և պարտավորությունների պարտադիր գույքագրման կարգի» Հավելված N 6՝ Ձև N գ-1, ինչպես նաև ՀՀ կառավարության 2010թ մարտի 11-ի թիվ 235-Ն որոշմամբ հրապարակված ֆինանսական հաշվետվությունների միջազգային ստանդարտների դրույթների,</w:t>
      </w:r>
    </w:p>
    <w:p w:rsidR="00E807E9" w:rsidRPr="000E0847" w:rsidRDefault="00E807E9" w:rsidP="00E807E9">
      <w:pPr>
        <w:spacing w:line="256" w:lineRule="auto"/>
        <w:jc w:val="both"/>
        <w:rPr>
          <w:rFonts w:cs="Sylfaen"/>
          <w:b/>
          <w:i/>
          <w:sz w:val="20"/>
          <w:szCs w:val="20"/>
          <w:lang w:val="hy-AM"/>
        </w:rPr>
      </w:pPr>
    </w:p>
    <w:p w:rsidR="00E807E9" w:rsidRPr="000E0847" w:rsidRDefault="00E807E9" w:rsidP="00E807E9">
      <w:pPr>
        <w:spacing w:line="256" w:lineRule="auto"/>
        <w:jc w:val="both"/>
        <w:rPr>
          <w:rFonts w:cs="Sylfaen"/>
          <w:b/>
          <w:i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t>9</w:t>
      </w:r>
      <w:r>
        <w:rPr>
          <w:rFonts w:ascii="Cambria Math" w:hAnsi="Cambria Math" w:cs="Sylfaen"/>
          <w:b/>
          <w:sz w:val="20"/>
          <w:szCs w:val="20"/>
          <w:lang w:val="hy-AM"/>
        </w:rPr>
        <w:t>․</w:t>
      </w:r>
      <w:r w:rsidRPr="000E0847">
        <w:rPr>
          <w:rFonts w:cs="Sylfaen"/>
          <w:b/>
          <w:sz w:val="20"/>
          <w:szCs w:val="20"/>
          <w:lang w:val="hy-AM"/>
        </w:rPr>
        <w:t xml:space="preserve">  ՀԾ ներբեռնման համառոտ Հաշվետվություն N 04՝ կատարված աշխատանքների մասին,</w:t>
      </w:r>
    </w:p>
    <w:p w:rsidR="00E807E9" w:rsidRPr="000E0847" w:rsidRDefault="00E807E9" w:rsidP="00E807E9">
      <w:pPr>
        <w:spacing w:line="256" w:lineRule="auto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b/>
          <w:sz w:val="20"/>
          <w:szCs w:val="20"/>
          <w:lang w:val="hy-AM"/>
        </w:rPr>
        <w:lastRenderedPageBreak/>
        <w:t>9</w:t>
      </w:r>
      <w:r>
        <w:rPr>
          <w:rFonts w:ascii="Cambria Math" w:hAnsi="Cambria Math" w:cs="Sylfaen"/>
          <w:b/>
          <w:sz w:val="20"/>
          <w:szCs w:val="20"/>
          <w:lang w:val="hy-AM"/>
        </w:rPr>
        <w:t>․1․</w:t>
      </w:r>
      <w:r w:rsidRPr="000E0847">
        <w:rPr>
          <w:rFonts w:cs="Sylfaen"/>
          <w:b/>
          <w:sz w:val="20"/>
          <w:szCs w:val="20"/>
          <w:lang w:val="hy-AM"/>
        </w:rPr>
        <w:t xml:space="preserve">  Հաշվետվություն N 05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0E0847">
        <w:rPr>
          <w:rFonts w:cs="Sylfaen"/>
          <w:b/>
          <w:sz w:val="20"/>
          <w:szCs w:val="20"/>
          <w:lang w:val="hy-AM"/>
        </w:rPr>
        <w:t>1՝ Լուծարվող գույքերի գույքագրում, Հաշվետվություն N 05</w:t>
      </w:r>
      <w:r w:rsidRPr="000E0847">
        <w:rPr>
          <w:rFonts w:ascii="Cambria Math" w:hAnsi="Cambria Math" w:cs="Cambria Math"/>
          <w:b/>
          <w:sz w:val="20"/>
          <w:szCs w:val="20"/>
          <w:lang w:val="hy-AM"/>
        </w:rPr>
        <w:t>․</w:t>
      </w:r>
      <w:r w:rsidRPr="000E0847">
        <w:rPr>
          <w:rFonts w:cs="Sylfaen"/>
          <w:b/>
          <w:sz w:val="20"/>
          <w:szCs w:val="20"/>
          <w:lang w:val="hy-AM"/>
        </w:rPr>
        <w:t xml:space="preserve">2՝ Լուծարվող գույքերի վերագնահատում, աճուրդի   ներկայացում </w:t>
      </w:r>
    </w:p>
    <w:p w:rsidR="00E807E9" w:rsidRPr="00E807E9" w:rsidRDefault="00E807E9" w:rsidP="00E807E9">
      <w:pPr>
        <w:jc w:val="center"/>
        <w:rPr>
          <w:b/>
          <w:lang w:val="hy-AM"/>
        </w:rPr>
      </w:pPr>
      <w:bookmarkStart w:id="0" w:name="_GoBack"/>
      <w:bookmarkEnd w:id="0"/>
    </w:p>
    <w:sectPr w:rsidR="00E807E9" w:rsidRPr="00E8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5057"/>
    <w:multiLevelType w:val="hybridMultilevel"/>
    <w:tmpl w:val="D26C391C"/>
    <w:lvl w:ilvl="0" w:tplc="6090D45A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C09"/>
    <w:multiLevelType w:val="multilevel"/>
    <w:tmpl w:val="F9724E52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792" w:hanging="495"/>
      </w:pPr>
    </w:lvl>
    <w:lvl w:ilvl="2">
      <w:start w:val="7"/>
      <w:numFmt w:val="decimal"/>
      <w:lvlText w:val="%1.%2.%3"/>
      <w:lvlJc w:val="left"/>
      <w:pPr>
        <w:ind w:left="1089" w:hanging="495"/>
      </w:pPr>
    </w:lvl>
    <w:lvl w:ilvl="3">
      <w:start w:val="6"/>
      <w:numFmt w:val="decimal"/>
      <w:lvlText w:val="%1.%2.%3.%4"/>
      <w:lvlJc w:val="left"/>
      <w:pPr>
        <w:ind w:left="1611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908" w:hanging="720"/>
      </w:pPr>
    </w:lvl>
    <w:lvl w:ilvl="5">
      <w:start w:val="1"/>
      <w:numFmt w:val="decimal"/>
      <w:lvlText w:val="%1.%2.%3.%4.%5.%6"/>
      <w:lvlJc w:val="left"/>
      <w:pPr>
        <w:ind w:left="2565" w:hanging="1080"/>
      </w:pPr>
    </w:lvl>
    <w:lvl w:ilvl="6">
      <w:start w:val="1"/>
      <w:numFmt w:val="decimal"/>
      <w:lvlText w:val="%1.%2.%3.%4.%5.%6.%7"/>
      <w:lvlJc w:val="left"/>
      <w:pPr>
        <w:ind w:left="2862" w:hanging="1080"/>
      </w:pPr>
    </w:lvl>
    <w:lvl w:ilvl="7">
      <w:start w:val="1"/>
      <w:numFmt w:val="decimal"/>
      <w:lvlText w:val="%1.%2.%3.%4.%5.%6.%7.%8"/>
      <w:lvlJc w:val="left"/>
      <w:pPr>
        <w:ind w:left="3159" w:hanging="1080"/>
      </w:pPr>
    </w:lvl>
    <w:lvl w:ilvl="8">
      <w:start w:val="1"/>
      <w:numFmt w:val="decimal"/>
      <w:lvlText w:val="%1.%2.%3.%4.%5.%6.%7.%8.%9"/>
      <w:lvlJc w:val="left"/>
      <w:pPr>
        <w:ind w:left="3816" w:hanging="1440"/>
      </w:pPr>
    </w:lvl>
  </w:abstractNum>
  <w:abstractNum w:abstractNumId="2" w15:restartNumberingAfterBreak="0">
    <w:nsid w:val="21FE4B7F"/>
    <w:multiLevelType w:val="hybridMultilevel"/>
    <w:tmpl w:val="046CFAB8"/>
    <w:lvl w:ilvl="0" w:tplc="0419000D">
      <w:start w:val="1"/>
      <w:numFmt w:val="bullet"/>
      <w:lvlText w:val=""/>
      <w:lvlJc w:val="left"/>
      <w:pPr>
        <w:ind w:left="16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3" w15:restartNumberingAfterBreak="0">
    <w:nsid w:val="4051147E"/>
    <w:multiLevelType w:val="hybridMultilevel"/>
    <w:tmpl w:val="A5A40E92"/>
    <w:lvl w:ilvl="0" w:tplc="21C29A16">
      <w:start w:val="1"/>
      <w:numFmt w:val="decimal"/>
      <w:lvlText w:val="1.%1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5B769A"/>
    <w:multiLevelType w:val="multilevel"/>
    <w:tmpl w:val="08C6D554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792" w:hanging="495"/>
      </w:pPr>
    </w:lvl>
    <w:lvl w:ilvl="2">
      <w:start w:val="7"/>
      <w:numFmt w:val="decimal"/>
      <w:lvlText w:val="%1.%2.%3"/>
      <w:lvlJc w:val="left"/>
      <w:pPr>
        <w:ind w:left="1089" w:hanging="495"/>
      </w:pPr>
    </w:lvl>
    <w:lvl w:ilvl="3">
      <w:start w:val="4"/>
      <w:numFmt w:val="decimal"/>
      <w:lvlText w:val="%1.%2.%3.%4"/>
      <w:lvlJc w:val="left"/>
      <w:pPr>
        <w:ind w:left="1611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908" w:hanging="720"/>
      </w:pPr>
    </w:lvl>
    <w:lvl w:ilvl="5">
      <w:start w:val="1"/>
      <w:numFmt w:val="decimal"/>
      <w:lvlText w:val="%1.%2.%3.%4.%5.%6"/>
      <w:lvlJc w:val="left"/>
      <w:pPr>
        <w:ind w:left="2565" w:hanging="1080"/>
      </w:pPr>
    </w:lvl>
    <w:lvl w:ilvl="6">
      <w:start w:val="1"/>
      <w:numFmt w:val="decimal"/>
      <w:lvlText w:val="%1.%2.%3.%4.%5.%6.%7"/>
      <w:lvlJc w:val="left"/>
      <w:pPr>
        <w:ind w:left="2862" w:hanging="1080"/>
      </w:pPr>
    </w:lvl>
    <w:lvl w:ilvl="7">
      <w:start w:val="1"/>
      <w:numFmt w:val="decimal"/>
      <w:lvlText w:val="%1.%2.%3.%4.%5.%6.%7.%8"/>
      <w:lvlJc w:val="left"/>
      <w:pPr>
        <w:ind w:left="3159" w:hanging="1080"/>
      </w:pPr>
    </w:lvl>
    <w:lvl w:ilvl="8">
      <w:start w:val="1"/>
      <w:numFmt w:val="decimal"/>
      <w:lvlText w:val="%1.%2.%3.%4.%5.%6.%7.%8.%9"/>
      <w:lvlJc w:val="left"/>
      <w:pPr>
        <w:ind w:left="3816" w:hanging="1440"/>
      </w:pPr>
    </w:lvl>
  </w:abstractNum>
  <w:abstractNum w:abstractNumId="5" w15:restartNumberingAfterBreak="0">
    <w:nsid w:val="60D5299E"/>
    <w:multiLevelType w:val="multilevel"/>
    <w:tmpl w:val="7CA8D270"/>
    <w:lvl w:ilvl="0">
      <w:start w:val="1"/>
      <w:numFmt w:val="decimal"/>
      <w:lvlText w:val="%1"/>
      <w:lvlJc w:val="left"/>
      <w:pPr>
        <w:ind w:left="495" w:hanging="495"/>
      </w:pPr>
      <w:rPr>
        <w:rFonts w:cs="Sylfaen"/>
      </w:rPr>
    </w:lvl>
    <w:lvl w:ilvl="1">
      <w:start w:val="1"/>
      <w:numFmt w:val="decimal"/>
      <w:lvlText w:val="%1.%2"/>
      <w:lvlJc w:val="left"/>
      <w:pPr>
        <w:ind w:left="792" w:hanging="495"/>
      </w:pPr>
      <w:rPr>
        <w:rFonts w:cs="Sylfaen"/>
      </w:rPr>
    </w:lvl>
    <w:lvl w:ilvl="2">
      <w:start w:val="7"/>
      <w:numFmt w:val="decimal"/>
      <w:lvlText w:val="%1.%2.%3"/>
      <w:lvlJc w:val="left"/>
      <w:pPr>
        <w:ind w:left="1089" w:hanging="495"/>
      </w:pPr>
      <w:rPr>
        <w:rFonts w:cs="Sylfaen"/>
      </w:rPr>
    </w:lvl>
    <w:lvl w:ilvl="3">
      <w:start w:val="1"/>
      <w:numFmt w:val="decimal"/>
      <w:lvlText w:val="%1.%2.%3.%4"/>
      <w:lvlJc w:val="left"/>
      <w:pPr>
        <w:ind w:left="1611" w:hanging="720"/>
      </w:pPr>
      <w:rPr>
        <w:rFonts w:cs="Sylfaen"/>
        <w:b/>
        <w:bCs/>
      </w:rPr>
    </w:lvl>
    <w:lvl w:ilvl="4">
      <w:start w:val="1"/>
      <w:numFmt w:val="decimal"/>
      <w:lvlText w:val="%1.%2.%3.%4.%5"/>
      <w:lvlJc w:val="left"/>
      <w:pPr>
        <w:ind w:left="1908" w:hanging="720"/>
      </w:pPr>
      <w:rPr>
        <w:rFonts w:cs="Sylfaen"/>
      </w:rPr>
    </w:lvl>
    <w:lvl w:ilvl="5">
      <w:start w:val="1"/>
      <w:numFmt w:val="decimal"/>
      <w:lvlText w:val="%1.%2.%3.%4.%5.%6"/>
      <w:lvlJc w:val="left"/>
      <w:pPr>
        <w:ind w:left="2565" w:hanging="1080"/>
      </w:pPr>
      <w:rPr>
        <w:rFonts w:cs="Sylfaen"/>
      </w:rPr>
    </w:lvl>
    <w:lvl w:ilvl="6">
      <w:start w:val="1"/>
      <w:numFmt w:val="decimal"/>
      <w:lvlText w:val="%1.%2.%3.%4.%5.%6.%7"/>
      <w:lvlJc w:val="left"/>
      <w:pPr>
        <w:ind w:left="2862" w:hanging="1080"/>
      </w:pPr>
      <w:rPr>
        <w:rFonts w:cs="Sylfaen"/>
      </w:rPr>
    </w:lvl>
    <w:lvl w:ilvl="7">
      <w:start w:val="1"/>
      <w:numFmt w:val="decimal"/>
      <w:lvlText w:val="%1.%2.%3.%4.%5.%6.%7.%8"/>
      <w:lvlJc w:val="left"/>
      <w:pPr>
        <w:ind w:left="3159" w:hanging="1080"/>
      </w:pPr>
      <w:rPr>
        <w:rFonts w:cs="Sylfaen"/>
      </w:rPr>
    </w:lvl>
    <w:lvl w:ilvl="8">
      <w:start w:val="1"/>
      <w:numFmt w:val="decimal"/>
      <w:lvlText w:val="%1.%2.%3.%4.%5.%6.%7.%8.%9"/>
      <w:lvlJc w:val="left"/>
      <w:pPr>
        <w:ind w:left="3816" w:hanging="1440"/>
      </w:pPr>
      <w:rPr>
        <w:rFonts w:cs="Sylfaen"/>
      </w:rPr>
    </w:lvl>
  </w:abstractNum>
  <w:abstractNum w:abstractNumId="6" w15:restartNumberingAfterBreak="0">
    <w:nsid w:val="6DC621F0"/>
    <w:multiLevelType w:val="multilevel"/>
    <w:tmpl w:val="CB1804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7"/>
      <w:numFmt w:val="decimal"/>
      <w:isLgl/>
      <w:lvlText w:val="%1.%2"/>
      <w:lvlJc w:val="left"/>
      <w:pPr>
        <w:ind w:left="899" w:hanging="48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198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257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676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735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2213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632" w:hanging="1800"/>
      </w:pPr>
      <w:rPr>
        <w:rFonts w:cs="Sylfaen"/>
      </w:rPr>
    </w:lvl>
  </w:abstractNum>
  <w:abstractNum w:abstractNumId="7" w15:restartNumberingAfterBreak="0">
    <w:nsid w:val="6EF44CAB"/>
    <w:multiLevelType w:val="multilevel"/>
    <w:tmpl w:val="E0C2FF4C"/>
    <w:lvl w:ilvl="0">
      <w:start w:val="1"/>
      <w:numFmt w:val="decimal"/>
      <w:lvlText w:val="%1."/>
      <w:lvlJc w:val="left"/>
      <w:pPr>
        <w:ind w:left="840" w:hanging="840"/>
      </w:pPr>
      <w:rPr>
        <w:rFonts w:cs="Sylfaen"/>
        <w:b/>
        <w:i w:val="0"/>
      </w:rPr>
    </w:lvl>
    <w:lvl w:ilvl="1">
      <w:start w:val="1"/>
      <w:numFmt w:val="decimal"/>
      <w:lvlText w:val="%1.%2."/>
      <w:lvlJc w:val="left"/>
      <w:pPr>
        <w:ind w:left="1577" w:hanging="840"/>
      </w:pPr>
      <w:rPr>
        <w:rFonts w:cs="Sylfaen"/>
      </w:rPr>
    </w:lvl>
    <w:lvl w:ilvl="2">
      <w:start w:val="7"/>
      <w:numFmt w:val="decimal"/>
      <w:lvlText w:val="%1.%2.%3."/>
      <w:lvlJc w:val="left"/>
      <w:pPr>
        <w:ind w:left="2314" w:hanging="840"/>
      </w:pPr>
      <w:rPr>
        <w:rFonts w:cs="Sylfaen"/>
      </w:rPr>
    </w:lvl>
    <w:lvl w:ilvl="3">
      <w:start w:val="18"/>
      <w:numFmt w:val="decimal"/>
      <w:lvlText w:val="%1.%2.%3.%4."/>
      <w:lvlJc w:val="left"/>
      <w:pPr>
        <w:ind w:left="3051" w:hanging="840"/>
      </w:pPr>
      <w:rPr>
        <w:rFonts w:cs="Sylfaen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cs="Sylfaen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cs="Sylfaen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cs="Sylfaen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cs="Sylfaen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cs="Sylfaen"/>
      </w:rPr>
    </w:lvl>
  </w:abstractNum>
  <w:abstractNum w:abstractNumId="8" w15:restartNumberingAfterBreak="0">
    <w:nsid w:val="74693176"/>
    <w:multiLevelType w:val="multilevel"/>
    <w:tmpl w:val="5B6C9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4167FB"/>
    <w:multiLevelType w:val="multilevel"/>
    <w:tmpl w:val="A8706F4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00" w:hanging="480"/>
      </w:pPr>
    </w:lvl>
    <w:lvl w:ilvl="2">
      <w:start w:val="1"/>
      <w:numFmt w:val="bullet"/>
      <w:lvlText w:val=""/>
      <w:lvlJc w:val="left"/>
      <w:pPr>
        <w:ind w:left="156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18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80" w:hanging="1440"/>
      </w:pPr>
    </w:lvl>
    <w:lvl w:ilvl="8">
      <w:start w:val="1"/>
      <w:numFmt w:val="decimal"/>
      <w:lvlText w:val="%1.%2.%3.%4.%5.%6.%7.%8.%9"/>
      <w:lvlJc w:val="left"/>
      <w:pPr>
        <w:ind w:left="5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DC"/>
    <w:rsid w:val="001441CD"/>
    <w:rsid w:val="003A6EDC"/>
    <w:rsid w:val="00E8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911E99-4F5A-4883-A62E-CA26A576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07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E807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1159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2026-02-27T07:59:00Z</dcterms:created>
  <dcterms:modified xsi:type="dcterms:W3CDTF">2026-02-27T08:03:00Z</dcterms:modified>
</cp:coreProperties>
</file>