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+37494754603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ՇՄԱՀ-ԷԱՃԱՊՁԲ-26/06</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компьютерного оборудования для нужд мэрии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Экран — 16 дюймов
Процессор — Core i7-13355U
SSD — 512 GB
RAM — 16 GB
Графика — Intel Iris Plus Graphics
Разъёмы — Aux; USB 2; USB 3; HDMI; Type-C
Допустимое отклонение — ±3%
1334U
Dell Vostro 3530
или
Lenovo IdeaPad Slim 3
или
Dell 15 DC 115250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Экран — 16 дюймов
Процессор — Core i5-1334U
SSD — 16 GB
RAM — 16 GB
Разъёмы — Aux; USB 2; USB 3; HDMI; Type-C
Допустимое отклонение — ±3%
Asus Vivobook F1504VA-WS51
или
Lenovo IdeaPad Slim 3 15IRH10
или
Lenovo IdeaPad Slim 3 16IAH8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лазерный
Функции — печать, сканирование, копирование
Максимальный формат бумаги — A4
Скорость печати (чёрно-белая) — не менее 40 стр./мин
Функции — ADF, Duplex (двусторонняя печать)
Интерфейсы — Wi-Fi, LAN
Тип картриджа — 070H
Гарантийный срок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