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0172-Ա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հացահատիկահավաք կոմբայնի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finbazhin@sisian.am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0172-Ա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հացահատիկահավաք կոմբայնի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հացահատիկահավաք կոմբայնի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finbazhin@sisian.am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հացահատիկահավաք կոմբայնի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ՍՄՍՀ-ԷԱՃԱՊՁԲ-26/9</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ՍՄՍՀ-ԷԱՃԱՊՁԲ-26/9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ՍՄՍՀ-ԷԱՃԱՊՁԲ-26/9</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«ՍՄՍՀ-ԷԱՃԱՊՁԲ-26/9»*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Սիսիանի համայնք</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ՍՄՍՀ-ԷԱՃԱՊՁԲ-26/9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900295101274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«ՍՄՍՀ-ԷԱՃԱՊՁԲ-26/9»*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ՍՄՍՀ-ԷԱՃԱՊՁԲ-26/9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3</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Շարժիչը – դիզելային
Շարժիչը- նվազագույնը 180 ձիաուժ -տրանսմիսսիան -հիդրոստատիկ
Հնձիչի լայնություն-նվազագույնը  3մ․ 80սմ
Թմբուկի երկարությունը- նվազագույնը 1150մմ
Թմբուկի տրամագիծը- նվազագույնը 600մմ 
Թմբուկի պտտման արագությունը- մին․ 400 մաքս․ 1200 պ/ր 
Ենթաթմբուկի ընդհանուր մակերես-նվազագույնը 0․90քմ
Ծղոտացնցիչների քանակը- նվազագույնը 4
 Ծղոտացնցիչների երկարությունը- նվազագույնը 3․5 մ
Ծղոտացնցիչների զատման մակերեսը- նվազագույնը 4․2 քմ
Մաղի ընդհանուր մակերեսը- նվազագույնը 3․5 քմ 
Մաքրման օդափոխիչի պտտման հաճախականությունը- 350-1200 պ/ր
Հացահատիկի բունկերի տարողունակությունը- նվազագույնը 4 խ/մ
Բեռնաթափման բարձրությունը- նվազագույնը  4 մ
Լուսածերպ- նվազագույնը 500 մմ
Ծղոտամանրիչի թմբուկի պտտման հաճախականությունը- նվազագույնը 3000 պ/ր
Օպերատորի խցիկը պետք է ունենա –
օդորակիչ և սառնարան 
բազմաֆունկցիոնալ կառավարման լծակ
մոնիտոր և իրազեկման համակարգ 
ենթաթմբուկի կառավարման համակարգ
Երաշխիք -  առնվազն 2 տարի կամ 2000 մոտոժամ: Արտադրված  2024- 2025թվական։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 օրվանից հաշված՝ 100 (մեկ հարյուր)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Հացահատիկահավաք կոմբայն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