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ջրամանների և մանկական հագուստի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ջրամանների և մանկական հագուստի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ջրամանների և մանկական հագուստի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ջրամանների և մանկական հագուստի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