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ձեռբերում 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ձեռբերում 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ձեռբերում 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ձեռբերում 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պրոստատսպեցիֆիկ անտիգենի որոշման, PSA նախատեսված բաց համակարգի համար: Մեթոդ իմունոֆերմենտատիվ որոշման եղանակով: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Որակի սերտիֆիկատներ`  ISO13485 կամ ГОСТ Р ИСО 13485 կամ համարժեք,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Ֆերիտին որոշման, նախատեսված բաց համակարգի համար: Մեթոդ իմունոֆերմենտատիվ որոշման եղանակով: Մեկ հավաքածույում թեստերի քանակը  96 թեսթ/12*8: Ստուգվող նմուշ` արյան շիճուկ։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2/2,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IV կարգի շիճուկ: Հերմետիկ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06.04.2026-25.12.2026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