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301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" w:type="dxa"/>
          <w:right w:w="11" w:type="dxa"/>
        </w:tblCellMar>
        <w:tblLook w:val="04A0" w:firstRow="1" w:lastRow="0" w:firstColumn="1" w:lastColumn="0" w:noHBand="0" w:noVBand="1"/>
      </w:tblPr>
      <w:tblGrid>
        <w:gridCol w:w="704"/>
        <w:gridCol w:w="1640"/>
        <w:gridCol w:w="1350"/>
        <w:gridCol w:w="8492"/>
        <w:gridCol w:w="830"/>
      </w:tblGrid>
      <w:tr w:rsidR="00B7333F" w:rsidRPr="00B61F9A" w:rsidTr="00B7333F">
        <w:trPr>
          <w:trHeight w:val="237"/>
          <w:jc w:val="center"/>
        </w:trPr>
        <w:tc>
          <w:tcPr>
            <w:tcW w:w="704" w:type="dxa"/>
            <w:vMerge w:val="restart"/>
            <w:textDirection w:val="btLr"/>
            <w:vAlign w:val="center"/>
          </w:tcPr>
          <w:p w:rsidR="00B7333F" w:rsidRPr="00B61F9A" w:rsidRDefault="00B7333F" w:rsidP="00584CB2">
            <w:pPr>
              <w:tabs>
                <w:tab w:val="left" w:pos="0"/>
              </w:tabs>
              <w:ind w:left="113" w:right="113"/>
              <w:jc w:val="center"/>
              <w:rPr>
                <w:rFonts w:ascii="Sylfaen" w:hAnsi="Sylfaen"/>
                <w:sz w:val="18"/>
                <w:szCs w:val="18"/>
              </w:rPr>
            </w:pPr>
            <w:r w:rsidRPr="00B61F9A">
              <w:rPr>
                <w:rFonts w:ascii="Sylfaen" w:hAnsi="Sylfaen" w:cs="Arial"/>
                <w:sz w:val="18"/>
                <w:szCs w:val="18"/>
                <w:lang w:val="hy-AM"/>
              </w:rPr>
              <w:t>հրավերով</w:t>
            </w:r>
            <w:r w:rsidRPr="00B61F9A">
              <w:rPr>
                <w:rFonts w:ascii="Sylfaen" w:hAnsi="Sylfaen"/>
                <w:sz w:val="18"/>
                <w:szCs w:val="18"/>
              </w:rPr>
              <w:t xml:space="preserve"> </w:t>
            </w:r>
            <w:proofErr w:type="spellStart"/>
            <w:r w:rsidRPr="00B61F9A">
              <w:rPr>
                <w:rFonts w:ascii="Sylfaen" w:hAnsi="Sylfaen" w:cs="Arial"/>
                <w:sz w:val="18"/>
                <w:szCs w:val="18"/>
              </w:rPr>
              <w:t>նախատեսված</w:t>
            </w:r>
            <w:proofErr w:type="spellEnd"/>
            <w:r w:rsidRPr="00B61F9A">
              <w:rPr>
                <w:rFonts w:ascii="Sylfaen" w:hAnsi="Sylfaen"/>
                <w:sz w:val="18"/>
                <w:szCs w:val="18"/>
              </w:rPr>
              <w:t xml:space="preserve"> </w:t>
            </w:r>
            <w:proofErr w:type="spellStart"/>
            <w:r w:rsidRPr="00B61F9A">
              <w:rPr>
                <w:rFonts w:ascii="Sylfaen" w:hAnsi="Sylfaen" w:cs="Arial"/>
                <w:sz w:val="18"/>
                <w:szCs w:val="18"/>
              </w:rPr>
              <w:t>չափաբաժնի</w:t>
            </w:r>
            <w:proofErr w:type="spellEnd"/>
            <w:r w:rsidRPr="00B61F9A">
              <w:rPr>
                <w:rFonts w:ascii="Sylfaen" w:hAnsi="Sylfaen"/>
                <w:sz w:val="18"/>
                <w:szCs w:val="18"/>
              </w:rPr>
              <w:t xml:space="preserve"> </w:t>
            </w:r>
            <w:proofErr w:type="spellStart"/>
            <w:r w:rsidRPr="00B61F9A">
              <w:rPr>
                <w:rFonts w:ascii="Sylfaen" w:hAnsi="Sylfaen" w:cs="Arial"/>
                <w:sz w:val="18"/>
                <w:szCs w:val="18"/>
              </w:rPr>
              <w:t>համարը</w:t>
            </w:r>
            <w:proofErr w:type="spellEnd"/>
          </w:p>
        </w:tc>
        <w:tc>
          <w:tcPr>
            <w:tcW w:w="1640" w:type="dxa"/>
            <w:vMerge w:val="restart"/>
            <w:vAlign w:val="center"/>
          </w:tcPr>
          <w:p w:rsidR="00B7333F" w:rsidRPr="00B61F9A" w:rsidRDefault="00B7333F" w:rsidP="00584CB2">
            <w:pPr>
              <w:jc w:val="center"/>
              <w:rPr>
                <w:rFonts w:ascii="Sylfaen" w:hAnsi="Sylfaen"/>
                <w:sz w:val="18"/>
                <w:szCs w:val="18"/>
              </w:rPr>
            </w:pPr>
            <w:proofErr w:type="spellStart"/>
            <w:r w:rsidRPr="00B61F9A">
              <w:rPr>
                <w:rFonts w:ascii="Sylfaen" w:hAnsi="Sylfaen" w:cs="Arial"/>
                <w:sz w:val="18"/>
                <w:szCs w:val="18"/>
              </w:rPr>
              <w:t>գնումների</w:t>
            </w:r>
            <w:proofErr w:type="spellEnd"/>
            <w:r w:rsidRPr="00B61F9A">
              <w:rPr>
                <w:rFonts w:ascii="Sylfaen" w:hAnsi="Sylfaen"/>
                <w:sz w:val="18"/>
                <w:szCs w:val="18"/>
              </w:rPr>
              <w:t xml:space="preserve"> </w:t>
            </w:r>
            <w:proofErr w:type="spellStart"/>
            <w:r w:rsidRPr="00B61F9A">
              <w:rPr>
                <w:rFonts w:ascii="Sylfaen" w:hAnsi="Sylfaen" w:cs="Arial"/>
                <w:sz w:val="18"/>
                <w:szCs w:val="18"/>
              </w:rPr>
              <w:t>պլանով</w:t>
            </w:r>
            <w:proofErr w:type="spellEnd"/>
            <w:r w:rsidRPr="00B61F9A">
              <w:rPr>
                <w:rFonts w:ascii="Sylfaen" w:hAnsi="Sylfaen"/>
                <w:sz w:val="18"/>
                <w:szCs w:val="18"/>
              </w:rPr>
              <w:t xml:space="preserve"> </w:t>
            </w:r>
            <w:proofErr w:type="spellStart"/>
            <w:r w:rsidRPr="00B61F9A">
              <w:rPr>
                <w:rFonts w:ascii="Sylfaen" w:hAnsi="Sylfaen" w:cs="Arial"/>
                <w:sz w:val="18"/>
                <w:szCs w:val="18"/>
              </w:rPr>
              <w:t>նախատեսված</w:t>
            </w:r>
            <w:proofErr w:type="spellEnd"/>
            <w:r w:rsidRPr="00B61F9A">
              <w:rPr>
                <w:rFonts w:ascii="Sylfaen" w:hAnsi="Sylfaen"/>
                <w:sz w:val="18"/>
                <w:szCs w:val="18"/>
              </w:rPr>
              <w:t xml:space="preserve"> </w:t>
            </w:r>
            <w:proofErr w:type="spellStart"/>
            <w:r w:rsidRPr="00B61F9A">
              <w:rPr>
                <w:rFonts w:ascii="Sylfaen" w:hAnsi="Sylfaen" w:cs="Arial"/>
                <w:sz w:val="18"/>
                <w:szCs w:val="18"/>
              </w:rPr>
              <w:t>միջանցիկ</w:t>
            </w:r>
            <w:proofErr w:type="spellEnd"/>
            <w:r w:rsidRPr="00B61F9A">
              <w:rPr>
                <w:rFonts w:ascii="Sylfaen" w:hAnsi="Sylfaen"/>
                <w:sz w:val="18"/>
                <w:szCs w:val="18"/>
              </w:rPr>
              <w:t xml:space="preserve"> </w:t>
            </w:r>
            <w:proofErr w:type="spellStart"/>
            <w:r w:rsidRPr="00B61F9A">
              <w:rPr>
                <w:rFonts w:ascii="Sylfaen" w:hAnsi="Sylfaen" w:cs="Arial"/>
                <w:sz w:val="18"/>
                <w:szCs w:val="18"/>
              </w:rPr>
              <w:t>ծածկագիրը</w:t>
            </w:r>
            <w:proofErr w:type="spellEnd"/>
            <w:r w:rsidRPr="00B61F9A">
              <w:rPr>
                <w:rFonts w:ascii="Sylfaen" w:hAnsi="Sylfaen"/>
                <w:sz w:val="18"/>
                <w:szCs w:val="18"/>
              </w:rPr>
              <w:t xml:space="preserve">` </w:t>
            </w:r>
            <w:proofErr w:type="spellStart"/>
            <w:r w:rsidRPr="00B61F9A">
              <w:rPr>
                <w:rFonts w:ascii="Sylfaen" w:hAnsi="Sylfaen" w:cs="Arial"/>
                <w:sz w:val="18"/>
                <w:szCs w:val="18"/>
              </w:rPr>
              <w:t>ըստ</w:t>
            </w:r>
            <w:proofErr w:type="spellEnd"/>
            <w:r w:rsidRPr="00B61F9A">
              <w:rPr>
                <w:rFonts w:ascii="Sylfaen" w:hAnsi="Sylfaen"/>
                <w:sz w:val="18"/>
                <w:szCs w:val="18"/>
              </w:rPr>
              <w:t xml:space="preserve"> </w:t>
            </w:r>
            <w:r w:rsidRPr="00B61F9A">
              <w:rPr>
                <w:rFonts w:ascii="Sylfaen" w:hAnsi="Sylfaen" w:cs="Arial"/>
                <w:sz w:val="18"/>
                <w:szCs w:val="18"/>
              </w:rPr>
              <w:t>ԳՄԱ</w:t>
            </w:r>
            <w:r w:rsidRPr="00B61F9A">
              <w:rPr>
                <w:rFonts w:ascii="Sylfaen" w:hAnsi="Sylfaen"/>
                <w:sz w:val="18"/>
                <w:szCs w:val="18"/>
              </w:rPr>
              <w:t xml:space="preserve"> </w:t>
            </w:r>
            <w:proofErr w:type="spellStart"/>
            <w:r w:rsidRPr="00B61F9A">
              <w:rPr>
                <w:rFonts w:ascii="Sylfaen" w:hAnsi="Sylfaen" w:cs="Arial"/>
                <w:sz w:val="18"/>
                <w:szCs w:val="18"/>
              </w:rPr>
              <w:t>դասակարգման</w:t>
            </w:r>
            <w:proofErr w:type="spellEnd"/>
            <w:r w:rsidRPr="00B61F9A">
              <w:rPr>
                <w:rFonts w:ascii="Sylfaen" w:hAnsi="Sylfaen"/>
                <w:sz w:val="18"/>
                <w:szCs w:val="18"/>
              </w:rPr>
              <w:t xml:space="preserve"> (CPV)</w:t>
            </w:r>
          </w:p>
        </w:tc>
        <w:tc>
          <w:tcPr>
            <w:tcW w:w="1350" w:type="dxa"/>
            <w:vMerge w:val="restart"/>
            <w:vAlign w:val="center"/>
          </w:tcPr>
          <w:p w:rsidR="00B7333F" w:rsidRPr="00B61F9A" w:rsidRDefault="00B7333F" w:rsidP="00584CB2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proofErr w:type="spellStart"/>
            <w:r w:rsidRPr="00B61F9A">
              <w:rPr>
                <w:rFonts w:ascii="Sylfaen" w:hAnsi="Sylfaen" w:cs="Arial"/>
                <w:sz w:val="18"/>
                <w:szCs w:val="18"/>
                <w:lang w:val="ru-RU"/>
              </w:rPr>
              <w:t>անվանում</w:t>
            </w:r>
            <w:proofErr w:type="spellEnd"/>
          </w:p>
        </w:tc>
        <w:tc>
          <w:tcPr>
            <w:tcW w:w="8492" w:type="dxa"/>
            <w:vMerge w:val="restart"/>
            <w:vAlign w:val="center"/>
          </w:tcPr>
          <w:p w:rsidR="00B7333F" w:rsidRPr="00B61F9A" w:rsidRDefault="00B7333F" w:rsidP="00584CB2">
            <w:pPr>
              <w:jc w:val="center"/>
              <w:rPr>
                <w:rFonts w:ascii="Sylfaen" w:hAnsi="Sylfaen"/>
                <w:sz w:val="18"/>
                <w:szCs w:val="18"/>
              </w:rPr>
            </w:pPr>
            <w:proofErr w:type="spellStart"/>
            <w:r w:rsidRPr="00B61F9A">
              <w:rPr>
                <w:rFonts w:ascii="Sylfaen" w:hAnsi="Sylfaen" w:cs="Arial"/>
                <w:sz w:val="18"/>
                <w:szCs w:val="18"/>
              </w:rPr>
              <w:t>տեխնիկական</w:t>
            </w:r>
            <w:proofErr w:type="spellEnd"/>
            <w:r w:rsidRPr="00B61F9A">
              <w:rPr>
                <w:rFonts w:ascii="Sylfaen" w:hAnsi="Sylfaen"/>
                <w:sz w:val="18"/>
                <w:szCs w:val="18"/>
              </w:rPr>
              <w:t xml:space="preserve"> </w:t>
            </w:r>
            <w:proofErr w:type="spellStart"/>
            <w:r w:rsidRPr="00B61F9A">
              <w:rPr>
                <w:rFonts w:ascii="Sylfaen" w:hAnsi="Sylfaen" w:cs="Arial"/>
                <w:sz w:val="18"/>
                <w:szCs w:val="18"/>
              </w:rPr>
              <w:t>բնութագիրը</w:t>
            </w:r>
            <w:proofErr w:type="spellEnd"/>
          </w:p>
        </w:tc>
        <w:tc>
          <w:tcPr>
            <w:tcW w:w="830" w:type="dxa"/>
            <w:vMerge w:val="restart"/>
            <w:vAlign w:val="center"/>
          </w:tcPr>
          <w:p w:rsidR="00B7333F" w:rsidRPr="00B61F9A" w:rsidRDefault="00B7333F" w:rsidP="00584CB2">
            <w:pPr>
              <w:jc w:val="center"/>
              <w:rPr>
                <w:rFonts w:ascii="Sylfaen" w:hAnsi="Sylfaen"/>
                <w:sz w:val="18"/>
                <w:szCs w:val="18"/>
              </w:rPr>
            </w:pPr>
            <w:proofErr w:type="spellStart"/>
            <w:r w:rsidRPr="00B61F9A">
              <w:rPr>
                <w:rFonts w:ascii="Sylfaen" w:hAnsi="Sylfaen" w:cs="Arial"/>
                <w:sz w:val="18"/>
                <w:szCs w:val="18"/>
              </w:rPr>
              <w:t>չափման</w:t>
            </w:r>
            <w:proofErr w:type="spellEnd"/>
            <w:r w:rsidRPr="00B61F9A">
              <w:rPr>
                <w:rFonts w:ascii="Sylfaen" w:hAnsi="Sylfaen"/>
                <w:sz w:val="18"/>
                <w:szCs w:val="18"/>
              </w:rPr>
              <w:t xml:space="preserve"> </w:t>
            </w:r>
            <w:proofErr w:type="spellStart"/>
            <w:r w:rsidRPr="00B61F9A">
              <w:rPr>
                <w:rFonts w:ascii="Sylfaen" w:hAnsi="Sylfaen" w:cs="Arial"/>
                <w:sz w:val="18"/>
                <w:szCs w:val="18"/>
              </w:rPr>
              <w:t>միավորը</w:t>
            </w:r>
            <w:proofErr w:type="spellEnd"/>
          </w:p>
        </w:tc>
      </w:tr>
      <w:tr w:rsidR="00B7333F" w:rsidRPr="00B61F9A" w:rsidTr="00B7333F">
        <w:trPr>
          <w:trHeight w:val="1774"/>
          <w:jc w:val="center"/>
        </w:trPr>
        <w:tc>
          <w:tcPr>
            <w:tcW w:w="704" w:type="dxa"/>
            <w:vMerge/>
            <w:vAlign w:val="center"/>
          </w:tcPr>
          <w:p w:rsidR="00B7333F" w:rsidRPr="00B61F9A" w:rsidRDefault="00B7333F" w:rsidP="00584CB2">
            <w:pPr>
              <w:jc w:val="center"/>
              <w:rPr>
                <w:rFonts w:ascii="Sylfaen" w:hAnsi="Sylfaen"/>
                <w:sz w:val="18"/>
                <w:szCs w:val="18"/>
              </w:rPr>
            </w:pPr>
          </w:p>
        </w:tc>
        <w:tc>
          <w:tcPr>
            <w:tcW w:w="1640" w:type="dxa"/>
            <w:vMerge/>
            <w:vAlign w:val="center"/>
          </w:tcPr>
          <w:p w:rsidR="00B7333F" w:rsidRPr="00B61F9A" w:rsidRDefault="00B7333F" w:rsidP="00584CB2">
            <w:pPr>
              <w:jc w:val="center"/>
              <w:rPr>
                <w:rFonts w:ascii="Sylfaen" w:hAnsi="Sylfaen"/>
                <w:sz w:val="18"/>
                <w:szCs w:val="18"/>
              </w:rPr>
            </w:pPr>
          </w:p>
        </w:tc>
        <w:tc>
          <w:tcPr>
            <w:tcW w:w="1350" w:type="dxa"/>
            <w:vMerge/>
            <w:vAlign w:val="center"/>
          </w:tcPr>
          <w:p w:rsidR="00B7333F" w:rsidRPr="00B61F9A" w:rsidRDefault="00B7333F" w:rsidP="00584CB2">
            <w:pPr>
              <w:jc w:val="center"/>
              <w:rPr>
                <w:rFonts w:ascii="Sylfaen" w:hAnsi="Sylfaen"/>
                <w:sz w:val="18"/>
                <w:szCs w:val="18"/>
              </w:rPr>
            </w:pPr>
          </w:p>
        </w:tc>
        <w:tc>
          <w:tcPr>
            <w:tcW w:w="8492" w:type="dxa"/>
            <w:vMerge/>
            <w:vAlign w:val="center"/>
          </w:tcPr>
          <w:p w:rsidR="00B7333F" w:rsidRPr="00B61F9A" w:rsidRDefault="00B7333F" w:rsidP="00584CB2">
            <w:pPr>
              <w:jc w:val="center"/>
              <w:rPr>
                <w:rFonts w:ascii="Sylfaen" w:hAnsi="Sylfaen"/>
                <w:sz w:val="18"/>
                <w:szCs w:val="18"/>
              </w:rPr>
            </w:pPr>
          </w:p>
        </w:tc>
        <w:tc>
          <w:tcPr>
            <w:tcW w:w="830" w:type="dxa"/>
            <w:vMerge/>
            <w:vAlign w:val="center"/>
          </w:tcPr>
          <w:p w:rsidR="00B7333F" w:rsidRPr="00B61F9A" w:rsidRDefault="00B7333F" w:rsidP="00584CB2">
            <w:pPr>
              <w:jc w:val="center"/>
              <w:rPr>
                <w:rFonts w:ascii="Sylfaen" w:hAnsi="Sylfaen"/>
                <w:sz w:val="18"/>
                <w:szCs w:val="18"/>
              </w:rPr>
            </w:pPr>
          </w:p>
        </w:tc>
      </w:tr>
      <w:tr w:rsidR="00B7333F" w:rsidRPr="00B61F9A" w:rsidTr="00B7333F">
        <w:trPr>
          <w:trHeight w:val="85"/>
          <w:jc w:val="center"/>
        </w:trPr>
        <w:tc>
          <w:tcPr>
            <w:tcW w:w="704" w:type="dxa"/>
          </w:tcPr>
          <w:p w:rsidR="00B7333F" w:rsidRPr="00B61F9A" w:rsidRDefault="00B7333F" w:rsidP="00B7333F">
            <w:p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ru-RU"/>
              </w:rPr>
            </w:pPr>
            <w:bookmarkStart w:id="0" w:name="_GoBack" w:colFirst="1" w:colLast="1"/>
            <w:r w:rsidRPr="00B61F9A">
              <w:rPr>
                <w:rFonts w:ascii="Sylfaen" w:hAnsi="Sylfaen"/>
                <w:color w:val="262626" w:themeColor="text1" w:themeTint="D9"/>
                <w:sz w:val="18"/>
                <w:szCs w:val="18"/>
                <w:lang w:val="ru-RU"/>
              </w:rPr>
              <w:t>1</w:t>
            </w:r>
          </w:p>
        </w:tc>
        <w:tc>
          <w:tcPr>
            <w:tcW w:w="1640" w:type="dxa"/>
          </w:tcPr>
          <w:p w:rsidR="00B7333F" w:rsidRPr="00B61F9A" w:rsidRDefault="00B7333F" w:rsidP="00B7333F">
            <w:pPr>
              <w:jc w:val="center"/>
              <w:rPr>
                <w:rFonts w:ascii="Sylfaen" w:hAnsi="Sylfaen"/>
                <w:sz w:val="18"/>
                <w:szCs w:val="18"/>
                <w:highlight w:val="yellow"/>
              </w:rPr>
            </w:pPr>
            <w:r w:rsidRPr="00DC3C35">
              <w:rPr>
                <w:rFonts w:ascii="Sylfaen" w:hAnsi="Sylfaen"/>
                <w:sz w:val="18"/>
                <w:szCs w:val="18"/>
              </w:rPr>
              <w:t>38431730</w:t>
            </w:r>
            <w:r>
              <w:rPr>
                <w:rFonts w:ascii="Sylfaen" w:hAnsi="Sylfaen"/>
                <w:sz w:val="18"/>
                <w:szCs w:val="18"/>
              </w:rPr>
              <w:t>/5</w:t>
            </w:r>
          </w:p>
        </w:tc>
        <w:tc>
          <w:tcPr>
            <w:tcW w:w="1350" w:type="dxa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shd w:val="clear" w:color="auto" w:fill="F9F9F9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shd w:val="clear" w:color="auto" w:fill="F9F9F9"/>
                <w:lang w:val="hy-AM"/>
              </w:rPr>
              <w:t>Կյուվետների շտատիվ 1</w:t>
            </w:r>
          </w:p>
        </w:tc>
        <w:tc>
          <w:tcPr>
            <w:tcW w:w="8492" w:type="dxa"/>
            <w:vAlign w:val="center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shd w:val="clear" w:color="auto" w:fill="F9F9F9"/>
                <w:lang w:val="hy-AM"/>
              </w:rPr>
            </w:pPr>
            <w:r w:rsidRPr="00B61F9A">
              <w:rPr>
                <w:rFonts w:ascii="Sylfaen" w:hAnsi="Sylfaen" w:cs="Sylfaen"/>
                <w:noProof/>
                <w:color w:val="232323"/>
                <w:spacing w:val="5"/>
                <w:sz w:val="18"/>
                <w:szCs w:val="18"/>
                <w:shd w:val="clear" w:color="auto" w:fill="F9F9F9"/>
                <w:lang w:eastAsia="en-US"/>
              </w:rPr>
              <w:drawing>
                <wp:anchor distT="0" distB="0" distL="114300" distR="114300" simplePos="0" relativeHeight="251736064" behindDoc="0" locked="0" layoutInCell="1" allowOverlap="1" wp14:anchorId="619975CA" wp14:editId="5748AB9C">
                  <wp:simplePos x="0" y="0"/>
                  <wp:positionH relativeFrom="column">
                    <wp:posOffset>2789555</wp:posOffset>
                  </wp:positionH>
                  <wp:positionV relativeFrom="paragraph">
                    <wp:posOffset>367665</wp:posOffset>
                  </wp:positionV>
                  <wp:extent cx="1531620" cy="720090"/>
                  <wp:effectExtent l="0" t="0" r="0" b="3810"/>
                  <wp:wrapSquare wrapText="bothSides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1620" cy="720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shd w:val="clear" w:color="auto" w:fill="F9F9F9"/>
                <w:lang w:val="hy-AM"/>
              </w:rPr>
              <w:t xml:space="preserve">Շտատիվ նախատեսված 10մմ չափով կյուվետների համար։ 16-ակոսանի, բարձր որակի պլաստիկ, ավտոկլավվող։ Երկարությունը մոտ 210 մմ, լայնությունը մոտ 70 մմ, բարձրությունը մոտ 38 մմ։ 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shd w:val="clear" w:color="auto" w:fill="F9F9F9"/>
                <w:lang w:val="hy-AM"/>
              </w:rPr>
            </w:pP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եվրոպական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արտադրության, բարձր որակի։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նոր, չօգտագործված, փաթեթը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չվնասված և ապահովված համապատասխան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պահպանման պայմաններով մատակարարման ամբողջ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ընթացքում: Մատակարարումից առաջ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shd w:val="clear" w:color="auto" w:fill="F9F9F9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համաձայնեցնել պատվիրատուի հետ</w:t>
            </w:r>
          </w:p>
        </w:tc>
        <w:tc>
          <w:tcPr>
            <w:tcW w:w="830" w:type="dxa"/>
          </w:tcPr>
          <w:p w:rsidR="00B7333F" w:rsidRPr="00B61F9A" w:rsidRDefault="00B7333F" w:rsidP="00B7333F">
            <w:pPr>
              <w:jc w:val="center"/>
              <w:rPr>
                <w:rFonts w:ascii="Sylfaen" w:hAnsi="Sylfaen" w:cs="Arial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Arial"/>
                <w:sz w:val="18"/>
                <w:szCs w:val="18"/>
                <w:lang w:val="hy-AM"/>
              </w:rPr>
              <w:t>հատ</w:t>
            </w:r>
          </w:p>
        </w:tc>
      </w:tr>
      <w:bookmarkEnd w:id="0"/>
      <w:tr w:rsidR="00B7333F" w:rsidRPr="00B61F9A" w:rsidTr="00B7333F">
        <w:trPr>
          <w:trHeight w:val="362"/>
          <w:jc w:val="center"/>
        </w:trPr>
        <w:tc>
          <w:tcPr>
            <w:tcW w:w="704" w:type="dxa"/>
          </w:tcPr>
          <w:p w:rsidR="00B7333F" w:rsidRPr="00B61F9A" w:rsidRDefault="00B7333F" w:rsidP="00B7333F">
            <w:pPr>
              <w:jc w:val="center"/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/>
                <w:color w:val="262626" w:themeColor="text1" w:themeTint="D9"/>
                <w:sz w:val="18"/>
                <w:szCs w:val="18"/>
                <w:lang w:val="hy-AM"/>
              </w:rPr>
              <w:t>2</w:t>
            </w:r>
          </w:p>
        </w:tc>
        <w:tc>
          <w:tcPr>
            <w:tcW w:w="1640" w:type="dxa"/>
          </w:tcPr>
          <w:p w:rsidR="00B7333F" w:rsidRPr="00DC3C35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</w:pPr>
            <w:r w:rsidRPr="00DC3C35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38431730</w:t>
            </w:r>
            <w:r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  <w:t>/6</w:t>
            </w:r>
          </w:p>
        </w:tc>
        <w:tc>
          <w:tcPr>
            <w:tcW w:w="1350" w:type="dxa"/>
            <w:shd w:val="clear" w:color="auto" w:fill="FFFFFF" w:themeFill="background1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Կյուվետների շտատիվ 2 </w:t>
            </w:r>
          </w:p>
        </w:tc>
        <w:tc>
          <w:tcPr>
            <w:tcW w:w="8492" w:type="dxa"/>
            <w:vAlign w:val="center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shd w:val="clear" w:color="auto" w:fill="F9F9F9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shd w:val="clear" w:color="auto" w:fill="F9F9F9"/>
                <w:lang w:val="hy-AM"/>
              </w:rPr>
              <w:t>Շտատիվ նախատեսված 10մմ չափով կյուվետների համար։ 12-ակոսանի, բարձր որակի պլաստիկ</w:t>
            </w:r>
            <w:r w:rsidRPr="00B61F9A">
              <w:rPr>
                <w:rFonts w:ascii="Sylfaen" w:hAnsi="Sylfaen" w:cs="Sylfaen"/>
                <w:noProof/>
                <w:color w:val="232323"/>
                <w:spacing w:val="5"/>
                <w:sz w:val="18"/>
                <w:szCs w:val="18"/>
                <w:lang w:val="hy-AM" w:eastAsia="en-US"/>
              </w:rPr>
              <w:t xml:space="preserve">։ </w:t>
            </w: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shd w:val="clear" w:color="auto" w:fill="F9F9F9"/>
                <w:lang w:val="hy-AM"/>
              </w:rPr>
              <w:t>Երկարությունը մոտ 170 մմ, լայնությունը մոտ 50 մմ, բարձրությունը մոտ 15 մմ։ Տուփում 5 հատ։ 1 տուփը համարժեք է 1 հատին ։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noProof/>
                <w:color w:val="232323"/>
                <w:spacing w:val="5"/>
                <w:sz w:val="18"/>
                <w:szCs w:val="18"/>
                <w:lang w:eastAsia="en-US"/>
              </w:rPr>
              <w:drawing>
                <wp:anchor distT="0" distB="0" distL="114300" distR="114300" simplePos="0" relativeHeight="251737088" behindDoc="0" locked="0" layoutInCell="1" allowOverlap="1" wp14:anchorId="19EC68B9" wp14:editId="1D7A4E03">
                  <wp:simplePos x="0" y="0"/>
                  <wp:positionH relativeFrom="column">
                    <wp:posOffset>2693035</wp:posOffset>
                  </wp:positionH>
                  <wp:positionV relativeFrom="paragraph">
                    <wp:posOffset>128270</wp:posOffset>
                  </wp:positionV>
                  <wp:extent cx="1628775" cy="961390"/>
                  <wp:effectExtent l="0" t="0" r="0" b="0"/>
                  <wp:wrapSquare wrapText="bothSides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775" cy="9613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եվրոպական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արտադրության, բարձր որակի։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նոր, չօգտագործված, փաթեթը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չվնասված և ապահովված համապատասխան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պահպանման պայմաններով մատակարարման ամբողջ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ընթացքում: Մատակարարումից առաջ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համաձայնեցնել պատվիրատուի հետ</w:t>
            </w:r>
          </w:p>
        </w:tc>
        <w:tc>
          <w:tcPr>
            <w:tcW w:w="830" w:type="dxa"/>
          </w:tcPr>
          <w:p w:rsidR="00B7333F" w:rsidRPr="00B61F9A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հատ</w:t>
            </w:r>
          </w:p>
        </w:tc>
      </w:tr>
      <w:tr w:rsidR="00B7333F" w:rsidRPr="00B61F9A" w:rsidTr="00B7333F">
        <w:trPr>
          <w:trHeight w:val="362"/>
          <w:jc w:val="center"/>
        </w:trPr>
        <w:tc>
          <w:tcPr>
            <w:tcW w:w="704" w:type="dxa"/>
          </w:tcPr>
          <w:p w:rsidR="00B7333F" w:rsidRPr="00B61F9A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3</w:t>
            </w:r>
          </w:p>
        </w:tc>
        <w:tc>
          <w:tcPr>
            <w:tcW w:w="1640" w:type="dxa"/>
          </w:tcPr>
          <w:p w:rsidR="00B7333F" w:rsidRPr="00DC3C35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</w:pPr>
            <w:r w:rsidRPr="00DC3C35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38431730</w:t>
            </w:r>
            <w:r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  <w:t>/7</w:t>
            </w:r>
          </w:p>
        </w:tc>
        <w:tc>
          <w:tcPr>
            <w:tcW w:w="1350" w:type="dxa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Պլաստիկ կյուվետներ</w:t>
            </w:r>
          </w:p>
        </w:tc>
        <w:tc>
          <w:tcPr>
            <w:tcW w:w="8492" w:type="dxa"/>
            <w:vAlign w:val="center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Քիմիական տարբեր նյութերի նկատմամբ կայուն, բարելավված լուսաչափական հատկություններով։ Կյուվետների բարելավված ձևը և պատի փոքր հաստությունը ապահովում են բարձր ջերմափոխանակության հնարավորություն, ինչը հանգեցնում է լուսաչափական չափումների ընթացքում նմուշի ավելի հաստատուն ջերմաստիճանի։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Նյութը՝</w:t>
            </w:r>
            <w:r w:rsidRPr="005545D4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 </w:t>
            </w: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ապակե-թափանցիկ պոլիստիրեն (PS)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կիրառելի ալիքի երկարության միջակայք՝ 340-ից մինչև 900 նմ մարման արժեքների շատ ցածր տատանումներով,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ուղու երկարություն՝ մոտ 10 մմ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արտաքին չափսեր՝ մոտ 12.5 x 12.5 x 45 մմ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lastRenderedPageBreak/>
              <w:t>մատակարարվում է տուփերով, յուրաքանչյուրում՝ 100 նույնական կյուվետներ։ Կյուվետի</w:t>
            </w:r>
            <w:r w:rsidRPr="00B61F9A">
              <w:rPr>
                <w:rFonts w:ascii="Sylfaen" w:hAnsi="Sylfaen" w:cs="Sylfaen"/>
                <w:noProof/>
                <w:color w:val="232323"/>
                <w:spacing w:val="5"/>
                <w:sz w:val="18"/>
                <w:szCs w:val="18"/>
                <w:lang w:eastAsia="en-US"/>
              </w:rPr>
              <w:drawing>
                <wp:anchor distT="0" distB="0" distL="114300" distR="114300" simplePos="0" relativeHeight="251738112" behindDoc="0" locked="0" layoutInCell="1" allowOverlap="1" wp14:anchorId="780F8388" wp14:editId="0635EC53">
                  <wp:simplePos x="0" y="0"/>
                  <wp:positionH relativeFrom="column">
                    <wp:posOffset>3763010</wp:posOffset>
                  </wp:positionH>
                  <wp:positionV relativeFrom="paragraph">
                    <wp:posOffset>-1270</wp:posOffset>
                  </wp:positionV>
                  <wp:extent cx="523875" cy="1426845"/>
                  <wp:effectExtent l="0" t="0" r="0" b="1905"/>
                  <wp:wrapSquare wrapText="bothSides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3875" cy="14268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B7333F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 </w:t>
            </w: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ծավալը մինչև 1,6 մլ։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1 տուփը համապատասխանում է 1 հատին։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եվրոպական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արտադրության, բարձր որակի։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նոր, չօգտագործված, փաթեթը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չվնասված և ապահովված համապատասխան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պահպանման պայմաններով մատակարարման ամբողջ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ընթացքում: Մատակարարումից առաջ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համաձայնեցնել պատվիրատուի հետ</w:t>
            </w:r>
          </w:p>
        </w:tc>
        <w:tc>
          <w:tcPr>
            <w:tcW w:w="830" w:type="dxa"/>
          </w:tcPr>
          <w:p w:rsidR="00B7333F" w:rsidRPr="00B61F9A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lastRenderedPageBreak/>
              <w:t>հատ</w:t>
            </w:r>
          </w:p>
        </w:tc>
      </w:tr>
      <w:tr w:rsidR="00B7333F" w:rsidRPr="00B61F9A" w:rsidTr="00B7333F">
        <w:trPr>
          <w:trHeight w:val="362"/>
          <w:jc w:val="center"/>
        </w:trPr>
        <w:tc>
          <w:tcPr>
            <w:tcW w:w="704" w:type="dxa"/>
          </w:tcPr>
          <w:p w:rsidR="00B7333F" w:rsidRPr="00B61F9A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4</w:t>
            </w:r>
          </w:p>
        </w:tc>
        <w:tc>
          <w:tcPr>
            <w:tcW w:w="1640" w:type="dxa"/>
          </w:tcPr>
          <w:p w:rsidR="00B7333F" w:rsidRPr="00DC3C35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</w:pPr>
            <w:r w:rsidRPr="00DC3C35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33691167</w:t>
            </w:r>
            <w:r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  <w:t>/75</w:t>
            </w:r>
          </w:p>
        </w:tc>
        <w:tc>
          <w:tcPr>
            <w:tcW w:w="1350" w:type="dxa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Պիպետների հավաքածու</w:t>
            </w:r>
          </w:p>
        </w:tc>
        <w:tc>
          <w:tcPr>
            <w:tcW w:w="8492" w:type="dxa"/>
            <w:vAlign w:val="center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VWR, Eppendorf կամ Soccorex: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Բարձր ճշտության մեխանիկական կարգավորմամբ ավտոմատ պիպետների հավաքածու, եվրոպական արտադրության, որը ներառում  է  պիպետների հետևյալ չափերը քանակներով՝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-1</w:t>
            </w:r>
            <w:r w:rsidRPr="00B61F9A">
              <w:rPr>
                <w:rFonts w:ascii="Sylfaen" w:hAnsi="Sylfaen" w:cs="Sylfaen"/>
                <w:b/>
                <w:color w:val="232323"/>
                <w:spacing w:val="5"/>
                <w:sz w:val="18"/>
                <w:szCs w:val="18"/>
                <w:lang w:val="hy-AM"/>
              </w:rPr>
              <w:t>00-1000 մկլ 1 հատ</w:t>
            </w: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, ճշտությունը՝ ±2.5 - ±0,6 %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 - </w:t>
            </w:r>
            <w:r w:rsidRPr="00B61F9A">
              <w:rPr>
                <w:rFonts w:ascii="Sylfaen" w:hAnsi="Sylfaen" w:cs="Sylfaen"/>
                <w:b/>
                <w:color w:val="232323"/>
                <w:spacing w:val="5"/>
                <w:sz w:val="18"/>
                <w:szCs w:val="18"/>
                <w:lang w:val="hy-AM"/>
              </w:rPr>
              <w:t>10-100 մկլ 1 հատ</w:t>
            </w: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, ճշտությունը՝ ±1,6 - ±0,8 %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- </w:t>
            </w:r>
            <w:r w:rsidRPr="00B61F9A">
              <w:rPr>
                <w:rFonts w:ascii="Sylfaen" w:hAnsi="Sylfaen" w:cs="Sylfaen"/>
                <w:b/>
                <w:color w:val="232323"/>
                <w:spacing w:val="5"/>
                <w:sz w:val="18"/>
                <w:szCs w:val="18"/>
                <w:lang w:val="hy-AM"/>
              </w:rPr>
              <w:t xml:space="preserve">0.5-10 մկլ 1 հատ, </w:t>
            </w: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ճշտությունը՝ ±4.0 - ±0,5 %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- </w:t>
            </w:r>
            <w:r w:rsidRPr="00B61F9A">
              <w:rPr>
                <w:rFonts w:ascii="Sylfaen" w:hAnsi="Sylfaen" w:cs="Sylfaen"/>
                <w:b/>
                <w:color w:val="232323"/>
                <w:spacing w:val="5"/>
                <w:sz w:val="18"/>
                <w:szCs w:val="18"/>
                <w:lang w:val="hy-AM"/>
              </w:rPr>
              <w:t>Ծայրակալների տուփ</w:t>
            </w: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 յուրաքանչյուր պիպետի համար </w:t>
            </w:r>
            <w:r w:rsidRPr="00B61F9A">
              <w:rPr>
                <w:rFonts w:ascii="Sylfaen" w:hAnsi="Sylfaen" w:cs="Sylfaen"/>
                <w:b/>
                <w:color w:val="232323"/>
                <w:spacing w:val="5"/>
                <w:sz w:val="18"/>
                <w:szCs w:val="18"/>
                <w:lang w:val="hy-AM"/>
              </w:rPr>
              <w:t>մեկական</w:t>
            </w: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՝ 10, 200 և 1000 մկլ, ավտոկլավվող են։ Արտադրված են ISO 9001 որակի կառավարման համակարգի համաձայն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- </w:t>
            </w:r>
            <w:r w:rsidRPr="00B61F9A">
              <w:rPr>
                <w:rFonts w:ascii="Sylfaen" w:hAnsi="Sylfaen" w:cs="Sylfaen"/>
                <w:b/>
                <w:color w:val="232323"/>
                <w:spacing w:val="5"/>
                <w:sz w:val="18"/>
                <w:szCs w:val="18"/>
                <w:lang w:val="hy-AM"/>
              </w:rPr>
              <w:t>4 պիպետի համար նախատեսված շտատիվ, 1 հատ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noProof/>
                <w:color w:val="232323"/>
                <w:spacing w:val="5"/>
                <w:sz w:val="18"/>
                <w:szCs w:val="18"/>
                <w:lang w:eastAsia="en-US"/>
              </w:rPr>
              <w:drawing>
                <wp:anchor distT="0" distB="0" distL="114300" distR="114300" simplePos="0" relativeHeight="251739136" behindDoc="0" locked="0" layoutInCell="1" allowOverlap="1" wp14:anchorId="5DB7DFA0" wp14:editId="720AF528">
                  <wp:simplePos x="0" y="0"/>
                  <wp:positionH relativeFrom="column">
                    <wp:posOffset>2811145</wp:posOffset>
                  </wp:positionH>
                  <wp:positionV relativeFrom="paragraph">
                    <wp:posOffset>147955</wp:posOffset>
                  </wp:positionV>
                  <wp:extent cx="1524000" cy="1107440"/>
                  <wp:effectExtent l="0" t="0" r="0" b="0"/>
                  <wp:wrapSquare wrapText="bothSides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4000" cy="1107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Պիպետները պետք է ունենան 5 տարվա գործարանային երաշխիք։ Պետք է ունենան հեշտ և արագ ստուգաչափման համակարգ և լինեն ավտոկլավվող, քիմիական նյութերի նկատմամբ կայուն՝ ուժեղ թթու, հիմք։ 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Հավաքածուն համարժեք է 1 հատին: 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Առկա է արտադրողի հավաստագիևը։ Ապրանքը պետք է լինի նոր, չօգտագործված, փաթեթը չվնասված և ապահովված համապատասխան պահպանման պայմաններով մատակարարման ամբողջ ընթացքում: Մատակարարումից առաջ համաձայնեցնել պատվիրատուի հետ:</w:t>
            </w:r>
          </w:p>
        </w:tc>
        <w:tc>
          <w:tcPr>
            <w:tcW w:w="830" w:type="dxa"/>
          </w:tcPr>
          <w:p w:rsidR="00B7333F" w:rsidRPr="00B61F9A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հատ</w:t>
            </w:r>
          </w:p>
        </w:tc>
      </w:tr>
      <w:tr w:rsidR="00B7333F" w:rsidRPr="00B61F9A" w:rsidTr="00B7333F">
        <w:trPr>
          <w:trHeight w:val="362"/>
          <w:jc w:val="center"/>
        </w:trPr>
        <w:tc>
          <w:tcPr>
            <w:tcW w:w="704" w:type="dxa"/>
          </w:tcPr>
          <w:p w:rsidR="00B7333F" w:rsidRPr="00B61F9A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5</w:t>
            </w:r>
          </w:p>
        </w:tc>
        <w:tc>
          <w:tcPr>
            <w:tcW w:w="1640" w:type="dxa"/>
          </w:tcPr>
          <w:p w:rsidR="00B7333F" w:rsidRPr="00DC3C35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</w:pPr>
            <w:r w:rsidRPr="00DC3C35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33691167</w:t>
            </w:r>
            <w:r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  <w:t>/76</w:t>
            </w:r>
          </w:p>
        </w:tc>
        <w:tc>
          <w:tcPr>
            <w:tcW w:w="1350" w:type="dxa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Թվային բյուրետ</w:t>
            </w:r>
          </w:p>
        </w:tc>
        <w:tc>
          <w:tcPr>
            <w:tcW w:w="8492" w:type="dxa"/>
            <w:vAlign w:val="center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Թվային բյուրետ՝ շշային կափարիչով բյուրետ, որը համապատասխանում է ապակե բյուրետների համար նախատեսված A դասի սխալանքի սահմաններին` համաձայն DIN EN ISO 385 ստանդարտի: Բացի այդ, այն առանձնանում է հեշտ տիտրմամբ, կոմպակտ դիզայնով, գերազանց ճշգրտությամբ, փոխարինելի չափիչ միավորով և լրացուցիչ համակարգչային ինտերֆեյսով: Այն տալիս է արագ և հուսալի տիտրման համար, նույնիսկ սահմանափակ տարածքում և անկախ առկա էլեկտրական միացումներից՝ լաբորատորիայում, արտադրության մեջ կամ դաշտում: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Այն պետք է ներառի</w:t>
            </w:r>
            <w:r w:rsidRPr="005545D4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 </w:t>
            </w: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շշին ամրացնելու պարզ և արդյունավետ դիզայն տարբեր չափերի ադապտերներով: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lastRenderedPageBreak/>
              <w:t>Պետք է ունենա առանձին կոճակներ՝ միացման/անջատման, դադարի և CLEAR-ի համար՝ էկրանը ջնջելու և գործառույթները ընտրելու համար: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Աշխատանքային ծավալը՝ մինչև 50 մլ,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ջերմաստիճանը +15°C-ից մինչև +40°C (59°F-ից մինչև 104°F)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Գոլորշու ճնշումը մինչև 500 մբար,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Մածուցիկությունը մինչև 500 մմ²/վ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Բարձրությունը՝ ծովի մակարդակից առավելագույնը 3000 մ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Հարաբերական խոնավությունը՝ 20%-ից մինչև 90%,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Ճշգրտություն` ±30 մկլ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Տատանման գործակից` ±10 մկլ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Ադապտատոր` GL 32, S 40, NS 29/32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Ներծծող խողովակի երկարությունը՝ 170–330 մմ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Սնուցում՝ 2 x AAA 1.5 V մարտկոցներ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ներառված են երեք PP թելային ադապտերներ, որակի վկայական, FED-ից պատրաստված լցման խողովակ, շրջանառվող խողովակ, երկու գունավոր լույսից պաշտպանող պատուհաններ, մարտկոցներ։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Ազատ պտտվող փականի բլոկ, GL 45 պտտման ադապտեր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noProof/>
                <w:color w:val="232323"/>
                <w:spacing w:val="5"/>
                <w:sz w:val="18"/>
                <w:szCs w:val="18"/>
                <w:lang w:eastAsia="en-US"/>
              </w:rPr>
              <w:drawing>
                <wp:anchor distT="0" distB="0" distL="114300" distR="114300" simplePos="0" relativeHeight="251740160" behindDoc="0" locked="0" layoutInCell="1" allowOverlap="1" wp14:anchorId="296BFF49" wp14:editId="2F2D61D2">
                  <wp:simplePos x="0" y="0"/>
                  <wp:positionH relativeFrom="column">
                    <wp:posOffset>3432810</wp:posOffset>
                  </wp:positionH>
                  <wp:positionV relativeFrom="paragraph">
                    <wp:posOffset>232410</wp:posOffset>
                  </wp:positionV>
                  <wp:extent cx="875665" cy="1258570"/>
                  <wp:effectExtent l="0" t="0" r="635" b="0"/>
                  <wp:wrapSquare wrapText="bothSides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5665" cy="1258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Տիտրացման խողովակը հորիզոնական և ուղղահայաց կարգավորվող է՝ ճկուն դիրքավորման համար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Պետք է հարմար լինի քանդելու և մաքրման համար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Կարող է տրամաչափվել առանց հավելյալ գործիքների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Պետք է ունենա հնարավորություն տրամաչափման ժամկետի պահպանման համար։  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Ընթացիկ ցուցադրված արժեքը պետք է պահպանվի ավտոմատ կանգով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Կարգավորելի է մինչև երեք տասնորդական նիշի ցուցադրմամբ։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քիմիական նյութերի նկատմամբ բարձր կայունությամբ, լինի նոր</w:t>
            </w:r>
            <w:r w:rsidRPr="00B61F9A">
              <w:rPr>
                <w:rFonts w:ascii="Sylfaen" w:hAnsi="Sylfaen"/>
                <w:color w:val="232323"/>
                <w:spacing w:val="5"/>
                <w:sz w:val="18"/>
                <w:szCs w:val="18"/>
                <w:lang w:val="hy-AM"/>
              </w:rPr>
              <w:t>, բարձր որակի</w:t>
            </w: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, չօգտագործված, փաթեթը չվնասված և ապահովված համապատասխան պահպանման պայմաններով մատակարարման ամբողջ ընթացքում: Մատակարարումից առաջ համաձայնեցնել պատվիրատուի հետ:</w:t>
            </w:r>
          </w:p>
        </w:tc>
        <w:tc>
          <w:tcPr>
            <w:tcW w:w="830" w:type="dxa"/>
          </w:tcPr>
          <w:p w:rsidR="00B7333F" w:rsidRPr="00B61F9A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lastRenderedPageBreak/>
              <w:t>Հատ</w:t>
            </w:r>
          </w:p>
        </w:tc>
      </w:tr>
      <w:tr w:rsidR="00B7333F" w:rsidRPr="00B61F9A" w:rsidTr="00B7333F">
        <w:trPr>
          <w:trHeight w:val="362"/>
          <w:jc w:val="center"/>
        </w:trPr>
        <w:tc>
          <w:tcPr>
            <w:tcW w:w="704" w:type="dxa"/>
          </w:tcPr>
          <w:p w:rsidR="00B7333F" w:rsidRPr="00B61F9A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6</w:t>
            </w:r>
          </w:p>
        </w:tc>
        <w:tc>
          <w:tcPr>
            <w:tcW w:w="1640" w:type="dxa"/>
          </w:tcPr>
          <w:p w:rsidR="00B7333F" w:rsidRPr="00DC3C35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</w:pPr>
            <w:r w:rsidRPr="00DC3C35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39141100</w:t>
            </w:r>
            <w:r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  <w:t>/1</w:t>
            </w:r>
          </w:p>
        </w:tc>
        <w:tc>
          <w:tcPr>
            <w:tcW w:w="1350" w:type="dxa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Մետաղական շարժական դարակ</w:t>
            </w:r>
          </w:p>
        </w:tc>
        <w:tc>
          <w:tcPr>
            <w:tcW w:w="8492" w:type="dxa"/>
            <w:vAlign w:val="center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Նյութ՝ 18/10 չժանգոտվող պողպատ (18% Cr + 11% Ni);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Հղկված հակամագնիսական մակերես;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Ամուր եռակցված կառուցվածք;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2 պտտվող անիվները՝ արգելակներով;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Յուրաքանչյուր դարակի՝ մոտ 800 x 500 մմ, առավելագույն բեռ՝ 40 կգ/դարակ; ընդհանուր՝ 2 դարակ;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Չափսեր մոտ՝ Երկարություն x Լայնություն x Բարձրություն, մմ - 900 x 600 x 940:</w:t>
            </w:r>
          </w:p>
          <w:p w:rsidR="00B7333F" w:rsidRPr="00793387" w:rsidRDefault="00B7333F" w:rsidP="00B7333F">
            <w:pPr>
              <w:rPr>
                <w:rFonts w:ascii="Sylfaen" w:hAnsi="Sylfaen"/>
                <w:sz w:val="18"/>
                <w:szCs w:val="18"/>
                <w:lang w:val="hy-AM"/>
              </w:rPr>
            </w:pPr>
          </w:p>
          <w:p w:rsidR="00B7333F" w:rsidRPr="00793387" w:rsidRDefault="00B7333F" w:rsidP="00B7333F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/>
                <w:noProof/>
                <w:sz w:val="18"/>
                <w:szCs w:val="18"/>
                <w:lang w:eastAsia="en-US"/>
              </w:rPr>
              <w:lastRenderedPageBreak/>
              <w:drawing>
                <wp:anchor distT="0" distB="0" distL="114300" distR="114300" simplePos="0" relativeHeight="251741184" behindDoc="0" locked="0" layoutInCell="1" allowOverlap="1" wp14:anchorId="7B0E8802" wp14:editId="7784A2F1">
                  <wp:simplePos x="0" y="0"/>
                  <wp:positionH relativeFrom="column">
                    <wp:posOffset>3177540</wp:posOffset>
                  </wp:positionH>
                  <wp:positionV relativeFrom="paragraph">
                    <wp:posOffset>175260</wp:posOffset>
                  </wp:positionV>
                  <wp:extent cx="1174750" cy="1178560"/>
                  <wp:effectExtent l="0" t="0" r="6350" b="2540"/>
                  <wp:wrapSquare wrapText="bothSides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4750" cy="1178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քիմիական նյութերի նկատմամբ բարձր կայունությամբ, լինի նոր</w:t>
            </w:r>
            <w:r w:rsidRPr="00B61F9A">
              <w:rPr>
                <w:rFonts w:ascii="Sylfaen" w:hAnsi="Sylfaen"/>
                <w:color w:val="232323"/>
                <w:spacing w:val="5"/>
                <w:sz w:val="18"/>
                <w:szCs w:val="18"/>
                <w:lang w:val="hy-AM"/>
              </w:rPr>
              <w:t>, բարձր որակի</w:t>
            </w: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, չօգտագործված, փաթեթը չվնասված և ապահովված համապատասխան պահպանման պայմաններով մատակարարման ամբողջ ընթացքում: Մատակարարումից առաջ համաձայնեցնել պատվիրատուի հետ:</w:t>
            </w:r>
          </w:p>
          <w:p w:rsidR="00B7333F" w:rsidRPr="00B61F9A" w:rsidRDefault="00B7333F" w:rsidP="00B7333F">
            <w:pPr>
              <w:rPr>
                <w:rFonts w:ascii="Sylfaen" w:hAnsi="Sylfaen"/>
                <w:sz w:val="18"/>
                <w:szCs w:val="18"/>
                <w:lang w:val="hy-AM"/>
              </w:rPr>
            </w:pP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</w:p>
        </w:tc>
        <w:tc>
          <w:tcPr>
            <w:tcW w:w="830" w:type="dxa"/>
          </w:tcPr>
          <w:p w:rsidR="00B7333F" w:rsidRPr="00B61F9A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lastRenderedPageBreak/>
              <w:t>Հատ</w:t>
            </w:r>
          </w:p>
        </w:tc>
      </w:tr>
      <w:tr w:rsidR="00B7333F" w:rsidRPr="00B61F9A" w:rsidTr="00B7333F">
        <w:trPr>
          <w:trHeight w:val="362"/>
          <w:jc w:val="center"/>
        </w:trPr>
        <w:tc>
          <w:tcPr>
            <w:tcW w:w="704" w:type="dxa"/>
          </w:tcPr>
          <w:p w:rsidR="00B7333F" w:rsidRPr="00B61F9A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7</w:t>
            </w:r>
          </w:p>
        </w:tc>
        <w:tc>
          <w:tcPr>
            <w:tcW w:w="1640" w:type="dxa"/>
          </w:tcPr>
          <w:p w:rsidR="00B7333F" w:rsidRPr="00DC3C35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</w:pPr>
            <w:r w:rsidRPr="00DC3C35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39711320</w:t>
            </w:r>
            <w:r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  <w:t>/1</w:t>
            </w:r>
          </w:p>
        </w:tc>
        <w:tc>
          <w:tcPr>
            <w:tcW w:w="1350" w:type="dxa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Տաքացվող սալիկ</w:t>
            </w:r>
          </w:p>
        </w:tc>
        <w:tc>
          <w:tcPr>
            <w:tcW w:w="8492" w:type="dxa"/>
            <w:vAlign w:val="center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Տաքացվող սալիկ, որը պետք է ունենա հետևյալ բնութագրերը՝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Լայնություն (արտաքին) մինչև 630 մմ,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Երկարություն (արտաքին) մինչև 360 մմ,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Բարձրություն (արտաքին) մինչև 150 մմ,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Տարբերակ ֆիլտրով ուղղանկյուն,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Թվային Կառավարման համակարգով,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Պատյանի նյութ՝ Ալյումին,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Քաշ առնվազն 16 կգ,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Քաշը փաթեթավորմամբ 18 կգ,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Ջեռուցման հզորություն 2000 Վտ,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Թիթեղի չափս առնվազն՝ 310 x 620 մմ,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Թիթեղի նյութ՝ կերամիկական ծածկույթով ալյումին,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Ջերմաստիճանի կառավարման լուծաչափ՝ Էկրան 0.1°C, կառավարում 0.5°C,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Ջերմաստիճանի մինչև 350°C,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Ջերմաստիճանի ճշգրտություն ±0.3°C,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Փաթեթավորման չափս մոտ՝ 750 x 430 x բարձրություն 220 մմ։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քիմիական նյութերի նկատմամբ բարձր կայունությամբ, լինի նոր</w:t>
            </w:r>
            <w:r w:rsidRPr="00B61F9A">
              <w:rPr>
                <w:rFonts w:ascii="Sylfaen" w:hAnsi="Sylfaen"/>
                <w:color w:val="232323"/>
                <w:spacing w:val="5"/>
                <w:sz w:val="18"/>
                <w:szCs w:val="18"/>
                <w:lang w:val="hy-AM"/>
              </w:rPr>
              <w:t>, բարձր որակի</w:t>
            </w: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, եվրոպական արտադրության, չօգտագործված, փաթեթը չվնասված և ապահովված համապատասխան պահպանման պայմաններով մատակարարման ամբողջ ընթացքում: Մատակարարումից առաջ համաձայնեցնել պատվիրատուի հետ:</w:t>
            </w:r>
          </w:p>
        </w:tc>
        <w:tc>
          <w:tcPr>
            <w:tcW w:w="830" w:type="dxa"/>
          </w:tcPr>
          <w:p w:rsidR="00B7333F" w:rsidRPr="00B61F9A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հատ</w:t>
            </w:r>
          </w:p>
        </w:tc>
      </w:tr>
      <w:tr w:rsidR="00B7333F" w:rsidRPr="00B61F9A" w:rsidTr="00B7333F">
        <w:trPr>
          <w:trHeight w:val="362"/>
          <w:jc w:val="center"/>
        </w:trPr>
        <w:tc>
          <w:tcPr>
            <w:tcW w:w="704" w:type="dxa"/>
          </w:tcPr>
          <w:p w:rsidR="00B7333F" w:rsidRPr="00B61F9A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8</w:t>
            </w:r>
          </w:p>
        </w:tc>
        <w:tc>
          <w:tcPr>
            <w:tcW w:w="1640" w:type="dxa"/>
          </w:tcPr>
          <w:p w:rsidR="00B7333F" w:rsidRPr="00DC3C35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</w:pPr>
            <w:r w:rsidRPr="00DC3C35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33191320</w:t>
            </w:r>
            <w:r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  <w:t>/1</w:t>
            </w:r>
          </w:p>
        </w:tc>
        <w:tc>
          <w:tcPr>
            <w:tcW w:w="1350" w:type="dxa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Նմուշի տարաներ խցանով, 2մլ</w:t>
            </w:r>
          </w:p>
        </w:tc>
        <w:tc>
          <w:tcPr>
            <w:tcW w:w="8492" w:type="dxa"/>
            <w:vAlign w:val="center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2 մլ աշխատանքային ծավալով բարձր որակի ապակե թափանցիկ սրվակներ։ 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9-425 տեսակի պտուտակային կափարիչով, ծավալի տարբեր չափեր նշումով։ 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Կապույտ պտուտակային կափարիչը անցքով, որի հետ պետք է լինի PTFE պլաստիկ սիլիկոնե միջնորմներով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Պետք է համատեղելի լինեն HPLC, LCMS և GC սարքավորումների նմուշապատրաստման և նմուշների պահպանման համար։ 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noProof/>
                <w:color w:val="232323"/>
                <w:spacing w:val="5"/>
                <w:sz w:val="18"/>
                <w:szCs w:val="18"/>
                <w:lang w:eastAsia="en-US"/>
              </w:rPr>
              <w:lastRenderedPageBreak/>
              <w:drawing>
                <wp:anchor distT="0" distB="0" distL="114300" distR="114300" simplePos="0" relativeHeight="251742208" behindDoc="0" locked="0" layoutInCell="1" allowOverlap="1" wp14:anchorId="366BFF3F" wp14:editId="682BEBED">
                  <wp:simplePos x="0" y="0"/>
                  <wp:positionH relativeFrom="column">
                    <wp:posOffset>3199130</wp:posOffset>
                  </wp:positionH>
                  <wp:positionV relativeFrom="paragraph">
                    <wp:posOffset>66040</wp:posOffset>
                  </wp:positionV>
                  <wp:extent cx="1095375" cy="908685"/>
                  <wp:effectExtent l="0" t="0" r="9525" b="5715"/>
                  <wp:wrapSquare wrapText="bothSides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5375" cy="908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Չեն պարունակում տարբեր տեսակի նմուշների հետ ռեակցիայի մեջ մտնող քիմիական նյութեր։ Մատակարարվում է տուփերով, որը համարժեք է 1 հատին։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Յուրաքանչյուր տուփում առկա է 100-ական սրվակ, կափարիչ և սիլիկոնե միջնորմ։ 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քիմիական նյութերի նկատմամբ բարձր կայունությամբ, լինի նոր</w:t>
            </w:r>
            <w:r w:rsidRPr="00B61F9A">
              <w:rPr>
                <w:rFonts w:ascii="Sylfaen" w:hAnsi="Sylfaen"/>
                <w:color w:val="232323"/>
                <w:spacing w:val="5"/>
                <w:sz w:val="18"/>
                <w:szCs w:val="18"/>
                <w:lang w:val="hy-AM"/>
              </w:rPr>
              <w:t>, բարձր որակի</w:t>
            </w: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, չօգտագործված, իսկ փաթեթը լինի չվնասված և ապահովված համապատասխան պահպանման պայմաններով մատակարարման ամբողջ ընթացքում: Մատակարարումից առաջ համաձայնեցնել պատվիրատուի հետ:</w:t>
            </w:r>
          </w:p>
        </w:tc>
        <w:tc>
          <w:tcPr>
            <w:tcW w:w="830" w:type="dxa"/>
          </w:tcPr>
          <w:p w:rsidR="00B7333F" w:rsidRPr="00B61F9A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lastRenderedPageBreak/>
              <w:t>հատ</w:t>
            </w:r>
          </w:p>
        </w:tc>
      </w:tr>
      <w:tr w:rsidR="00B7333F" w:rsidRPr="00B61F9A" w:rsidTr="00B7333F">
        <w:trPr>
          <w:trHeight w:val="362"/>
          <w:jc w:val="center"/>
        </w:trPr>
        <w:tc>
          <w:tcPr>
            <w:tcW w:w="704" w:type="dxa"/>
          </w:tcPr>
          <w:p w:rsidR="00B7333F" w:rsidRPr="00B61F9A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9</w:t>
            </w:r>
          </w:p>
        </w:tc>
        <w:tc>
          <w:tcPr>
            <w:tcW w:w="1640" w:type="dxa"/>
          </w:tcPr>
          <w:p w:rsidR="00B7333F" w:rsidRPr="00DC3C35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</w:pPr>
            <w:r w:rsidRPr="00DC3C35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38431430</w:t>
            </w:r>
            <w:r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  <w:t>/1</w:t>
            </w:r>
          </w:p>
        </w:tc>
        <w:tc>
          <w:tcPr>
            <w:tcW w:w="1350" w:type="dxa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Միկրոփորձանոթների թերմոթափահարիչ</w:t>
            </w:r>
          </w:p>
        </w:tc>
        <w:tc>
          <w:tcPr>
            <w:tcW w:w="8492" w:type="dxa"/>
            <w:vAlign w:val="center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Ջերմակարգավորվող թափահարիչ՝ նախատեսված մինչև 2 մլ և մինչև 0,2 մլ ծավալով միկրոփորձանոթների համար։ Այն պետք է ապահովի նմուշների ինտենսիվ խառնում սահմանված ջերմաստիճանային կառավարմամբ։ Պետք է ունենա հնարավորություն նմուշները մինչև +4°C սառեցնելու։  LCD էկրանը ցույց է տալիս ջերմաստիճանի, արագության և աշխատանքի ժամանակի նախապես սահմանված և ընթացիկ արժեքները։ Թափահարիչի աշխատանքը պետք է լինի լուռ, չափերը՝ կոմպակտ և ծառայի երկար տարիներ։  Տաքացման և խառնման գործառույթները պետք է լինեն կառավարելի միաժամանակ և անկախ։ Թափահարիչը պետք է ունենա հնարավորթյուն թվով 13 տարբեր  տաքացման և սառեցման բլոկներ։ Այն կիրառվում է՝ գենետիկական վերլուծություն՝ ԴՆԹ-ի, ՌՆԹ-ի անջատման և նմուշների հետագա պատրաստման ժամանակ, ֆերմենտային ռեակցիաների և պրոցեսների կենսաքիմիական ուսումնասիրությունների ժամանակ և այլն։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b/>
                <w:color w:val="232323"/>
                <w:spacing w:val="5"/>
                <w:sz w:val="18"/>
                <w:szCs w:val="18"/>
                <w:lang w:val="hy-AM"/>
              </w:rPr>
              <w:t>Տեխնիկական բնութագրեր</w:t>
            </w: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 Ջերմաստիճանի ընտրման միջակայք՝ +4°C-ից +100°C, 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Ջերմաստիճանի կարգավորման միջակայք՝ սենյակային ջերմաստիճանից 15°C-ից ցածր կետից +100°C,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Ջերմաստիճանի կարգավորման քայլւ՝ 0.1°C,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Ջերմաստիճանի կայունություն՝ ±0.1°C,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Ջերմաստիճանի ճշգրտություն՝ +37°C-ում ±0.5°C,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Միջին տաքացման արագությունը՝ +25°C-ից մինչև +100°C՝ 5°C/րոպե,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Միջին սառեցման արագությունը՝ +100°C-ից մինչև +25°C՝ 5°C/րոպե,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Միջին սառեցման արագությունը՝ +25°C-ից մինչև +4°C՝ 1.8°C/րոպե,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Ջերմաստիճանի միատարրությունը բլոկի վրա՝ +4°C-ում ±0.6°C,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Ջերմաստիճանի միատարրությունը բլոկի վրա՝ +37°C-ում ±0.1°C,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Ջերմաստիճանի միատարրությունը բլոկի վրա՝ +100°C-ում ±0.3°C,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Ջերմաստիճանի կարգաբերման գործակցի միջակայք՝ 0.936...1.063 (± 0.063),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Արագության կառավարման միջակայք՝ 250–1400 պտ/ր,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Թվային ժամանակի կարգավորում՝ 1 րոպեից 96 ժամ / ավելացման քայլը՝ 1 րոպե,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Ժամաչափի ձայնային ազդանշան +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Օրբիտալի շառավիղը՝ 2 մմ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LCD էկրան, 16 x 2 նշան,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b/>
                <w:color w:val="232323"/>
                <w:spacing w:val="5"/>
                <w:sz w:val="18"/>
                <w:szCs w:val="18"/>
                <w:lang w:val="hy-AM"/>
              </w:rPr>
              <w:lastRenderedPageBreak/>
              <w:t>Մատակարարվում է հարթակի</w:t>
            </w: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 հետ միասին, որը նախատեսված է 20 հատ 0,2 մլ միկրոփորձանոթների և 12 հատ 1,5 մլ միկրոփորձանոթների համար։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Միկրոպրոցեսոր՝ կառավարվող ջերմաստիճանի կառավարման, խառնման արագությանն և աշխատանքային ժամանակի համար։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Առավելագույն անընդհատ աշխատանքային ժամանակ՝ 168 ժամ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Ընդհանուր չափսեր (Լայնություն × Խորություն × Բարձրություն)՝ մոտ 220x240x90 մմ,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Քաշ՝ առնվազն 3.7 կգ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Մուտքային հոսանք/էներգիայի սպառում՝ 12 Վ, 4.9 Ա / 60 Վտ,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noProof/>
                <w:color w:val="232323"/>
                <w:spacing w:val="5"/>
                <w:sz w:val="18"/>
                <w:szCs w:val="18"/>
                <w:lang w:eastAsia="en-US"/>
              </w:rPr>
              <w:drawing>
                <wp:anchor distT="0" distB="0" distL="114300" distR="114300" simplePos="0" relativeHeight="251743232" behindDoc="0" locked="0" layoutInCell="1" allowOverlap="1" wp14:anchorId="7806CD58" wp14:editId="3800988A">
                  <wp:simplePos x="0" y="0"/>
                  <wp:positionH relativeFrom="column">
                    <wp:posOffset>2833370</wp:posOffset>
                  </wp:positionH>
                  <wp:positionV relativeFrom="paragraph">
                    <wp:posOffset>172085</wp:posOffset>
                  </wp:positionV>
                  <wp:extent cx="1504950" cy="771525"/>
                  <wp:effectExtent l="0" t="0" r="0" b="9525"/>
                  <wp:wrapSquare wrapText="bothSides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094"/>
                          <a:stretch/>
                        </pic:blipFill>
                        <pic:spPr bwMode="auto">
                          <a:xfrm>
                            <a:off x="0" y="0"/>
                            <a:ext cx="1504950" cy="771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Արտաքին սնուցման աղբյուր՝ Մուտքային AC 100–240 Վ; 50/60 Հց; Ելքային DC 12 Վ, BNC լար։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եվրոպական արտադրության, բարձր որակի, լինի նոր, չօգտագործված, չպարունակի կիսամաշ դետալներ, իսկ փաթեթը՝</w:t>
            </w:r>
            <w:r w:rsidRPr="005545D4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 </w:t>
            </w: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չվնասված և ապահովված համապատասխան</w:t>
            </w:r>
            <w:r w:rsidRPr="005545D4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 </w:t>
            </w: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պահպանման պայմաններով մատակարարման ամբողջ</w:t>
            </w:r>
            <w:r w:rsidRPr="005545D4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 </w:t>
            </w: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ընթացքում: Պետք է առկա լինի արտադրողի հավաստագիրը, և մատակարարվի ստուգաչափված վիճակում առկա բոլոր փաստաթղթերով։ Երաշխիք 1 տարի։ Մատակարարումից առաջ համաձայնեցնել պատվիրատուի հետ:</w:t>
            </w:r>
          </w:p>
        </w:tc>
        <w:tc>
          <w:tcPr>
            <w:tcW w:w="830" w:type="dxa"/>
          </w:tcPr>
          <w:p w:rsidR="00B7333F" w:rsidRPr="00B61F9A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lastRenderedPageBreak/>
              <w:t>հատ</w:t>
            </w:r>
          </w:p>
        </w:tc>
      </w:tr>
      <w:tr w:rsidR="00B7333F" w:rsidRPr="00B61F9A" w:rsidTr="00B7333F">
        <w:trPr>
          <w:trHeight w:val="362"/>
          <w:jc w:val="center"/>
        </w:trPr>
        <w:tc>
          <w:tcPr>
            <w:tcW w:w="704" w:type="dxa"/>
          </w:tcPr>
          <w:p w:rsidR="00B7333F" w:rsidRPr="00B61F9A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10</w:t>
            </w:r>
          </w:p>
        </w:tc>
        <w:tc>
          <w:tcPr>
            <w:tcW w:w="1640" w:type="dxa"/>
          </w:tcPr>
          <w:p w:rsidR="00B7333F" w:rsidRPr="00DC3C35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</w:pPr>
            <w:r w:rsidRPr="00DC3C35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42931100</w:t>
            </w:r>
            <w:r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  <w:t>/3</w:t>
            </w:r>
          </w:p>
        </w:tc>
        <w:tc>
          <w:tcPr>
            <w:tcW w:w="1350" w:type="dxa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Միկրոցենտրիֆուգ</w:t>
            </w:r>
          </w:p>
        </w:tc>
        <w:tc>
          <w:tcPr>
            <w:tcW w:w="8492" w:type="dxa"/>
            <w:vAlign w:val="center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Մինի ցենտրիֆուգ նախագծված է գենետիկական ինժեներիայի հետազոտությունների համար (ՊՇՌ անալիզների համար): Այս փոքր, կոմպակտ ցենտրիֆուգը նախատեսված է նմուշապատրաստման ժամանակ նյութերի խառնման և միկրոփորձանոթներւմ միկրոքանակների հավաքման։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Պետք է ունենա հետևյալ բնութագրերը՝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Պտտման արագությունը՝ ֆիքսված (50 Հց)  2800 պտ/րոպե և RCF՝ 500g,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noProof/>
                <w:color w:val="232323"/>
                <w:spacing w:val="5"/>
                <w:sz w:val="18"/>
                <w:szCs w:val="18"/>
                <w:lang w:eastAsia="en-US"/>
              </w:rPr>
              <w:drawing>
                <wp:anchor distT="0" distB="0" distL="114300" distR="114300" simplePos="0" relativeHeight="251744256" behindDoc="0" locked="0" layoutInCell="1" allowOverlap="1" wp14:anchorId="09E8AB72" wp14:editId="3E05E891">
                  <wp:simplePos x="0" y="0"/>
                  <wp:positionH relativeFrom="column">
                    <wp:posOffset>3373755</wp:posOffset>
                  </wp:positionH>
                  <wp:positionV relativeFrom="paragraph">
                    <wp:posOffset>22225</wp:posOffset>
                  </wp:positionV>
                  <wp:extent cx="965200" cy="708660"/>
                  <wp:effectExtent l="0" t="0" r="6350" b="0"/>
                  <wp:wrapSquare wrapText="bothSides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859" t="5680" r="9718" b="2516"/>
                          <a:stretch/>
                        </pic:blipFill>
                        <pic:spPr bwMode="auto">
                          <a:xfrm>
                            <a:off x="0" y="0"/>
                            <a:ext cx="965200" cy="7086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Պտտման արագություն (ֆիքսված) (60 Հց) 3500 պտ/րոպե և RCF 700g,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Ընդհանուր չափսեր (Լայնություն × Խորություն × Բարձրություն) մոտ120x170x120 մմ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Զոտ քաշը՝ առնվազն 1.4 կգ,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noProof/>
                <w:color w:val="232323"/>
                <w:spacing w:val="5"/>
                <w:sz w:val="18"/>
                <w:szCs w:val="18"/>
                <w:lang w:eastAsia="en-US"/>
              </w:rPr>
              <w:drawing>
                <wp:anchor distT="0" distB="0" distL="114300" distR="114300" simplePos="0" relativeHeight="251745280" behindDoc="0" locked="0" layoutInCell="1" allowOverlap="1" wp14:anchorId="03B7C657" wp14:editId="3C40ABE8">
                  <wp:simplePos x="0" y="0"/>
                  <wp:positionH relativeFrom="column">
                    <wp:posOffset>3596005</wp:posOffset>
                  </wp:positionH>
                  <wp:positionV relativeFrom="paragraph">
                    <wp:posOffset>66675</wp:posOffset>
                  </wp:positionV>
                  <wp:extent cx="742950" cy="664845"/>
                  <wp:effectExtent l="0" t="0" r="0" b="1905"/>
                  <wp:wrapSquare wrapText="bothSides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2950" cy="6648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Էներգիայի սպառում (230 Վ / 120 Վ) 25 Վ (0.1 Ա) / 30 Վ (0.27 Ա)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Նոմինալ աշխատանքային լարում՝ 120 կամ 230 Վ; 50/60 Հց, BNC լար։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Մատակարարվում է ռոտորով, որը պետք է համապատասխանի առանձին 12 հատ 0,5 մլ միկրոփորձանոթի և 12 հատ 0,2 մլ միկրոփորձանոթների համար։ 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 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եվրոպական արտադրության, բարձր որակի, լինի նոր, չօգտագործված, չպարունակի կիսամաշ դետալներ, իսկ փաթեթը՝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չվնասված և ապահովված համապատասխան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պահպանման պայմաններով մատակարարման ամբողջ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lastRenderedPageBreak/>
              <w:t>ընթացքում: Պետք է առկա լինի արտադրողի հավաստագիրը, և մատակարարվի ստուգաչափված վիճակում առկա բոլոր փաստաթղթերով։ Երաշխիք 1 տարի։ Մատակարարումից առաջ համաձայնեցնել պատվիրատուի հետ:</w:t>
            </w:r>
          </w:p>
        </w:tc>
        <w:tc>
          <w:tcPr>
            <w:tcW w:w="830" w:type="dxa"/>
          </w:tcPr>
          <w:p w:rsidR="00B7333F" w:rsidRPr="00B61F9A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lastRenderedPageBreak/>
              <w:t>Հատ</w:t>
            </w:r>
          </w:p>
        </w:tc>
      </w:tr>
      <w:tr w:rsidR="00B7333F" w:rsidRPr="00B61F9A" w:rsidTr="00B7333F">
        <w:trPr>
          <w:trHeight w:val="362"/>
          <w:jc w:val="center"/>
        </w:trPr>
        <w:tc>
          <w:tcPr>
            <w:tcW w:w="704" w:type="dxa"/>
          </w:tcPr>
          <w:p w:rsidR="00B7333F" w:rsidRPr="00B61F9A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11</w:t>
            </w:r>
          </w:p>
        </w:tc>
        <w:tc>
          <w:tcPr>
            <w:tcW w:w="1640" w:type="dxa"/>
          </w:tcPr>
          <w:p w:rsidR="00B7333F" w:rsidRPr="00847A61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</w:pPr>
            <w:r w:rsidRPr="00DC3C35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38431430</w:t>
            </w:r>
            <w:r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  <w:t>/2</w:t>
            </w:r>
          </w:p>
        </w:tc>
        <w:tc>
          <w:tcPr>
            <w:tcW w:w="1350" w:type="dxa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Թափահարիչի շտատիվներ </w:t>
            </w:r>
          </w:p>
        </w:tc>
        <w:tc>
          <w:tcPr>
            <w:tcW w:w="8492" w:type="dxa"/>
            <w:vAlign w:val="center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Հավաքածուն ներառում է երկու շտատիվ մինչև 15 մլ և մինչև 50 մլ աշխատանքային ծավալով տարաները ինկուբացնելու համար։ </w:t>
            </w:r>
          </w:p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285"/>
              <w:gridCol w:w="1898"/>
              <w:gridCol w:w="1314"/>
              <w:gridCol w:w="1752"/>
            </w:tblGrid>
            <w:tr w:rsidR="00B7333F" w:rsidRPr="002E77E0" w:rsidTr="00584CB2">
              <w:trPr>
                <w:trHeight w:val="56"/>
              </w:trPr>
              <w:tc>
                <w:tcPr>
                  <w:tcW w:w="1285" w:type="dxa"/>
                </w:tcPr>
                <w:p w:rsidR="00B7333F" w:rsidRPr="00B61F9A" w:rsidRDefault="00B7333F" w:rsidP="00B7333F">
                  <w:pPr>
                    <w:jc w:val="center"/>
                    <w:rPr>
                      <w:rFonts w:ascii="Sylfaen" w:hAnsi="Sylfaen" w:cs="Sylfaen"/>
                      <w:color w:val="232323"/>
                      <w:spacing w:val="5"/>
                      <w:sz w:val="18"/>
                      <w:szCs w:val="18"/>
                      <w:lang w:val="hy-AM"/>
                    </w:rPr>
                  </w:pPr>
                  <w:r w:rsidRPr="00B61F9A">
                    <w:rPr>
                      <w:rFonts w:ascii="Sylfaen" w:hAnsi="Sylfaen" w:cs="Sylfaen"/>
                      <w:color w:val="232323"/>
                      <w:spacing w:val="5"/>
                      <w:sz w:val="18"/>
                      <w:szCs w:val="18"/>
                      <w:lang w:val="hy-AM"/>
                    </w:rPr>
                    <w:t>Շտատիվ</w:t>
                  </w:r>
                </w:p>
              </w:tc>
              <w:tc>
                <w:tcPr>
                  <w:tcW w:w="1898" w:type="dxa"/>
                </w:tcPr>
                <w:p w:rsidR="00B7333F" w:rsidRPr="00B61F9A" w:rsidRDefault="00B7333F" w:rsidP="00B7333F">
                  <w:pPr>
                    <w:jc w:val="center"/>
                    <w:rPr>
                      <w:rFonts w:ascii="Sylfaen" w:hAnsi="Sylfaen" w:cs="Sylfaen"/>
                      <w:color w:val="232323"/>
                      <w:spacing w:val="5"/>
                      <w:sz w:val="18"/>
                      <w:szCs w:val="18"/>
                      <w:lang w:val="hy-AM"/>
                    </w:rPr>
                  </w:pPr>
                  <w:r w:rsidRPr="00B61F9A">
                    <w:rPr>
                      <w:rFonts w:ascii="Sylfaen" w:hAnsi="Sylfaen" w:cs="Sylfaen"/>
                      <w:color w:val="232323"/>
                      <w:spacing w:val="5"/>
                      <w:sz w:val="18"/>
                      <w:szCs w:val="18"/>
                      <w:lang w:val="hy-AM"/>
                    </w:rPr>
                    <w:t>Փորձանոթի աշխատանքային ծավալ, մինչև</w:t>
                  </w:r>
                </w:p>
              </w:tc>
              <w:tc>
                <w:tcPr>
                  <w:tcW w:w="1314" w:type="dxa"/>
                </w:tcPr>
                <w:p w:rsidR="00B7333F" w:rsidRPr="00B61F9A" w:rsidRDefault="00B7333F" w:rsidP="00B7333F">
                  <w:pPr>
                    <w:jc w:val="center"/>
                    <w:rPr>
                      <w:rFonts w:ascii="Sylfaen" w:hAnsi="Sylfaen" w:cs="Sylfaen"/>
                      <w:color w:val="232323"/>
                      <w:spacing w:val="5"/>
                      <w:sz w:val="18"/>
                      <w:szCs w:val="18"/>
                      <w:lang w:val="hy-AM"/>
                    </w:rPr>
                  </w:pPr>
                  <w:r w:rsidRPr="00B61F9A">
                    <w:rPr>
                      <w:rFonts w:ascii="Sylfaen" w:hAnsi="Sylfaen" w:cs="Sylfaen"/>
                      <w:color w:val="232323"/>
                      <w:spacing w:val="5"/>
                      <w:sz w:val="18"/>
                      <w:szCs w:val="18"/>
                      <w:lang w:val="hy-AM"/>
                    </w:rPr>
                    <w:t>Ակոսների քանակ</w:t>
                  </w:r>
                </w:p>
              </w:tc>
              <w:tc>
                <w:tcPr>
                  <w:tcW w:w="1752" w:type="dxa"/>
                </w:tcPr>
                <w:p w:rsidR="00B7333F" w:rsidRPr="00B61F9A" w:rsidRDefault="00B7333F" w:rsidP="00B7333F">
                  <w:pPr>
                    <w:jc w:val="center"/>
                    <w:rPr>
                      <w:rFonts w:ascii="Sylfaen" w:hAnsi="Sylfaen" w:cs="Sylfaen"/>
                      <w:color w:val="232323"/>
                      <w:spacing w:val="5"/>
                      <w:sz w:val="18"/>
                      <w:szCs w:val="18"/>
                      <w:lang w:val="hy-AM"/>
                    </w:rPr>
                  </w:pPr>
                  <w:r w:rsidRPr="00B61F9A">
                    <w:rPr>
                      <w:rFonts w:ascii="Sylfaen" w:hAnsi="Sylfaen" w:cs="Sylfaen"/>
                      <w:color w:val="232323"/>
                      <w:spacing w:val="5"/>
                      <w:sz w:val="18"/>
                      <w:szCs w:val="18"/>
                      <w:lang w:val="hy-AM"/>
                    </w:rPr>
                    <w:t>Ակոսի տրամագիծը (միջինացված)</w:t>
                  </w:r>
                </w:p>
              </w:tc>
            </w:tr>
            <w:tr w:rsidR="00B7333F" w:rsidRPr="002E77E0" w:rsidTr="00584CB2">
              <w:trPr>
                <w:trHeight w:val="353"/>
              </w:trPr>
              <w:tc>
                <w:tcPr>
                  <w:tcW w:w="1285" w:type="dxa"/>
                </w:tcPr>
                <w:p w:rsidR="00B7333F" w:rsidRPr="00B61F9A" w:rsidRDefault="00B7333F" w:rsidP="00B7333F">
                  <w:pPr>
                    <w:rPr>
                      <w:rFonts w:ascii="Sylfaen" w:hAnsi="Sylfaen" w:cs="Sylfaen"/>
                      <w:color w:val="232323"/>
                      <w:spacing w:val="5"/>
                      <w:sz w:val="18"/>
                      <w:szCs w:val="18"/>
                      <w:lang w:val="hy-AM"/>
                    </w:rPr>
                  </w:pPr>
                  <w:r w:rsidRPr="00B61F9A">
                    <w:rPr>
                      <w:rFonts w:ascii="Sylfaen" w:hAnsi="Sylfaen" w:cs="Sylfaen"/>
                      <w:color w:val="232323"/>
                      <w:spacing w:val="5"/>
                      <w:sz w:val="18"/>
                      <w:szCs w:val="18"/>
                      <w:lang w:val="hy-AM"/>
                    </w:rPr>
                    <w:t>1</w:t>
                  </w:r>
                </w:p>
              </w:tc>
              <w:tc>
                <w:tcPr>
                  <w:tcW w:w="1898" w:type="dxa"/>
                </w:tcPr>
                <w:p w:rsidR="00B7333F" w:rsidRPr="00B61F9A" w:rsidRDefault="00B7333F" w:rsidP="00B7333F">
                  <w:pPr>
                    <w:rPr>
                      <w:rFonts w:ascii="Sylfaen" w:hAnsi="Sylfaen" w:cs="Sylfaen"/>
                      <w:color w:val="232323"/>
                      <w:spacing w:val="5"/>
                      <w:sz w:val="18"/>
                      <w:szCs w:val="18"/>
                      <w:lang w:val="hy-AM"/>
                    </w:rPr>
                  </w:pPr>
                  <w:r w:rsidRPr="00B61F9A">
                    <w:rPr>
                      <w:rFonts w:ascii="Sylfaen" w:hAnsi="Sylfaen" w:cs="Sylfaen"/>
                      <w:color w:val="232323"/>
                      <w:spacing w:val="5"/>
                      <w:sz w:val="18"/>
                      <w:szCs w:val="18"/>
                      <w:lang w:val="hy-AM"/>
                    </w:rPr>
                    <w:t>15 մլ</w:t>
                  </w:r>
                </w:p>
              </w:tc>
              <w:tc>
                <w:tcPr>
                  <w:tcW w:w="1314" w:type="dxa"/>
                </w:tcPr>
                <w:p w:rsidR="00B7333F" w:rsidRPr="00B61F9A" w:rsidRDefault="00B7333F" w:rsidP="00B7333F">
                  <w:pPr>
                    <w:rPr>
                      <w:rFonts w:ascii="Sylfaen" w:hAnsi="Sylfaen" w:cs="Sylfaen"/>
                      <w:color w:val="232323"/>
                      <w:spacing w:val="5"/>
                      <w:sz w:val="18"/>
                      <w:szCs w:val="18"/>
                      <w:lang w:val="hy-AM"/>
                    </w:rPr>
                  </w:pPr>
                  <w:r w:rsidRPr="00B61F9A">
                    <w:rPr>
                      <w:rFonts w:ascii="Sylfaen" w:hAnsi="Sylfaen" w:cs="Sylfaen"/>
                      <w:color w:val="232323"/>
                      <w:spacing w:val="5"/>
                      <w:sz w:val="18"/>
                      <w:szCs w:val="18"/>
                      <w:lang w:val="hy-AM"/>
                    </w:rPr>
                    <w:t>44</w:t>
                  </w:r>
                </w:p>
              </w:tc>
              <w:tc>
                <w:tcPr>
                  <w:tcW w:w="1752" w:type="dxa"/>
                </w:tcPr>
                <w:p w:rsidR="00B7333F" w:rsidRPr="00B61F9A" w:rsidRDefault="00B7333F" w:rsidP="00B7333F">
                  <w:pPr>
                    <w:rPr>
                      <w:rFonts w:ascii="Sylfaen" w:hAnsi="Sylfaen" w:cs="Sylfaen"/>
                      <w:color w:val="232323"/>
                      <w:spacing w:val="5"/>
                      <w:sz w:val="18"/>
                      <w:szCs w:val="18"/>
                      <w:lang w:val="hy-AM"/>
                    </w:rPr>
                  </w:pPr>
                  <w:r w:rsidRPr="00B61F9A">
                    <w:rPr>
                      <w:rFonts w:ascii="Sylfaen" w:hAnsi="Sylfaen" w:cs="Sylfaen"/>
                      <w:color w:val="232323"/>
                      <w:spacing w:val="5"/>
                      <w:sz w:val="18"/>
                      <w:szCs w:val="18"/>
                      <w:lang w:val="hy-AM"/>
                    </w:rPr>
                    <w:t>17 մմ</w:t>
                  </w:r>
                </w:p>
              </w:tc>
            </w:tr>
            <w:tr w:rsidR="00B7333F" w:rsidRPr="002E77E0" w:rsidTr="00584CB2">
              <w:trPr>
                <w:trHeight w:val="225"/>
              </w:trPr>
              <w:tc>
                <w:tcPr>
                  <w:tcW w:w="1285" w:type="dxa"/>
                </w:tcPr>
                <w:p w:rsidR="00B7333F" w:rsidRPr="00B61F9A" w:rsidRDefault="00B7333F" w:rsidP="00B7333F">
                  <w:pPr>
                    <w:rPr>
                      <w:rFonts w:ascii="Sylfaen" w:hAnsi="Sylfaen" w:cs="Sylfaen"/>
                      <w:color w:val="232323"/>
                      <w:spacing w:val="5"/>
                      <w:sz w:val="18"/>
                      <w:szCs w:val="18"/>
                      <w:lang w:val="hy-AM"/>
                    </w:rPr>
                  </w:pPr>
                  <w:r w:rsidRPr="00B61F9A">
                    <w:rPr>
                      <w:rFonts w:ascii="Sylfaen" w:hAnsi="Sylfaen" w:cs="Sylfaen"/>
                      <w:color w:val="232323"/>
                      <w:spacing w:val="5"/>
                      <w:sz w:val="18"/>
                      <w:szCs w:val="18"/>
                      <w:lang w:val="hy-AM"/>
                    </w:rPr>
                    <w:t>2</w:t>
                  </w:r>
                </w:p>
              </w:tc>
              <w:tc>
                <w:tcPr>
                  <w:tcW w:w="1898" w:type="dxa"/>
                </w:tcPr>
                <w:p w:rsidR="00B7333F" w:rsidRPr="00B61F9A" w:rsidRDefault="00B7333F" w:rsidP="00B7333F">
                  <w:pPr>
                    <w:rPr>
                      <w:rFonts w:ascii="Sylfaen" w:hAnsi="Sylfaen" w:cs="Sylfaen"/>
                      <w:color w:val="232323"/>
                      <w:spacing w:val="5"/>
                      <w:sz w:val="18"/>
                      <w:szCs w:val="18"/>
                      <w:lang w:val="hy-AM"/>
                    </w:rPr>
                  </w:pPr>
                  <w:r w:rsidRPr="00B61F9A">
                    <w:rPr>
                      <w:rFonts w:ascii="Sylfaen" w:hAnsi="Sylfaen" w:cs="Sylfaen"/>
                      <w:color w:val="232323"/>
                      <w:spacing w:val="5"/>
                      <w:sz w:val="18"/>
                      <w:szCs w:val="18"/>
                      <w:lang w:val="hy-AM"/>
                    </w:rPr>
                    <w:t>50 մլ</w:t>
                  </w:r>
                </w:p>
              </w:tc>
              <w:tc>
                <w:tcPr>
                  <w:tcW w:w="1314" w:type="dxa"/>
                </w:tcPr>
                <w:p w:rsidR="00B7333F" w:rsidRPr="00B61F9A" w:rsidRDefault="00B7333F" w:rsidP="00B7333F">
                  <w:pPr>
                    <w:rPr>
                      <w:rFonts w:ascii="Sylfaen" w:hAnsi="Sylfaen" w:cs="Sylfaen"/>
                      <w:color w:val="232323"/>
                      <w:spacing w:val="5"/>
                      <w:sz w:val="18"/>
                      <w:szCs w:val="18"/>
                      <w:lang w:val="hy-AM"/>
                    </w:rPr>
                  </w:pPr>
                  <w:r w:rsidRPr="00B61F9A">
                    <w:rPr>
                      <w:rFonts w:ascii="Sylfaen" w:hAnsi="Sylfaen" w:cs="Sylfaen"/>
                      <w:color w:val="232323"/>
                      <w:spacing w:val="5"/>
                      <w:sz w:val="18"/>
                      <w:szCs w:val="18"/>
                      <w:lang w:val="hy-AM"/>
                    </w:rPr>
                    <w:t>21</w:t>
                  </w:r>
                </w:p>
              </w:tc>
              <w:tc>
                <w:tcPr>
                  <w:tcW w:w="1752" w:type="dxa"/>
                </w:tcPr>
                <w:p w:rsidR="00B7333F" w:rsidRPr="00B61F9A" w:rsidRDefault="00B7333F" w:rsidP="00B7333F">
                  <w:pPr>
                    <w:rPr>
                      <w:rFonts w:ascii="Sylfaen" w:hAnsi="Sylfaen" w:cs="Sylfaen"/>
                      <w:color w:val="232323"/>
                      <w:spacing w:val="5"/>
                      <w:sz w:val="18"/>
                      <w:szCs w:val="18"/>
                      <w:lang w:val="hy-AM"/>
                    </w:rPr>
                  </w:pPr>
                  <w:r w:rsidRPr="00B61F9A">
                    <w:rPr>
                      <w:rFonts w:ascii="Sylfaen" w:hAnsi="Sylfaen" w:cs="Sylfaen"/>
                      <w:color w:val="232323"/>
                      <w:spacing w:val="5"/>
                      <w:sz w:val="18"/>
                      <w:szCs w:val="18"/>
                      <w:lang w:val="hy-AM"/>
                    </w:rPr>
                    <w:t>30 մմ</w:t>
                  </w:r>
                </w:p>
              </w:tc>
            </w:tr>
          </w:tbl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Շտատիվները պետք է լինեն համատեղելի Biosan ES-20/80(C) ջերմակարգավորվող թափահարիչի UP-168 տեսակի հարթակին ամրացնելու համար։ Պետք է լինի պատրաստված չժանգոտվող նյութից, ամուր մետաղական կարկասով։ Տարաների թեքման աստիճանը փոփոխելու հնարավորությամբ բռնակի միջոցով։ </w:t>
            </w:r>
          </w:p>
          <w:p w:rsidR="00B7333F" w:rsidRPr="00B61F9A" w:rsidRDefault="00B7333F" w:rsidP="00B7333F">
            <w:pPr>
              <w:rPr>
                <w:rFonts w:ascii="Sylfaen" w:hAnsi="Sylfaen"/>
                <w:sz w:val="18"/>
                <w:szCs w:val="18"/>
              </w:rPr>
            </w:pPr>
            <w:r w:rsidRPr="00B61F9A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180FB4E2" wp14:editId="2D9AEE29">
                  <wp:extent cx="984405" cy="760021"/>
                  <wp:effectExtent l="0" t="0" r="6350" b="254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795" cy="7796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B61F9A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2BAF6D3E" wp14:editId="03FEAEE8">
                  <wp:extent cx="1071514" cy="760021"/>
                  <wp:effectExtent l="0" t="0" r="0" b="254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2875" cy="775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Հավաքածուն պարունակում է յուրաքանչյուր շտատիվից մեկական։ 1 հավաքածուն համարժեք է 1 հատին։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եվրոպական արտադրության, բարձր որակի, լինի նոր, չօգտագործված, չպարունակի կիսամաշ դետալներ, իսկ փաթեթը՝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չվնասված և ապահովված համապատասխան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պահպանման պայմաններով մատակարարման ամբողջ</w:t>
            </w:r>
          </w:p>
          <w:p w:rsidR="00B7333F" w:rsidRPr="00B61F9A" w:rsidRDefault="00B7333F" w:rsidP="00B7333F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ընթացքում: Պետք է առկա լինի արտադրողի հավաստագիրը։ Երաշխիք 1 տարի։ Մատակարարումից առաջ համաձայնեցնել պատվիրատուի հետ:</w:t>
            </w:r>
          </w:p>
        </w:tc>
        <w:tc>
          <w:tcPr>
            <w:tcW w:w="830" w:type="dxa"/>
          </w:tcPr>
          <w:p w:rsidR="00B7333F" w:rsidRPr="00B61F9A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հատ</w:t>
            </w:r>
          </w:p>
        </w:tc>
      </w:tr>
      <w:tr w:rsidR="00B7333F" w:rsidRPr="00B61F9A" w:rsidTr="00B7333F">
        <w:trPr>
          <w:trHeight w:val="362"/>
          <w:jc w:val="center"/>
        </w:trPr>
        <w:tc>
          <w:tcPr>
            <w:tcW w:w="704" w:type="dxa"/>
          </w:tcPr>
          <w:p w:rsidR="00B7333F" w:rsidRPr="00B61F9A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12</w:t>
            </w:r>
          </w:p>
        </w:tc>
        <w:tc>
          <w:tcPr>
            <w:tcW w:w="1640" w:type="dxa"/>
          </w:tcPr>
          <w:p w:rsidR="00B7333F" w:rsidRPr="00847A61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</w:pPr>
            <w:r w:rsidRPr="00C7000B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35121130</w:t>
            </w:r>
            <w:r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  <w:t>/1</w:t>
            </w:r>
          </w:p>
        </w:tc>
        <w:tc>
          <w:tcPr>
            <w:tcW w:w="1350" w:type="dxa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Անվտանգ</w:t>
            </w: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 աշխատանք</w:t>
            </w:r>
            <w: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ի լաբորատոր պարագա </w:t>
            </w:r>
          </w:p>
        </w:tc>
        <w:tc>
          <w:tcPr>
            <w:tcW w:w="8492" w:type="dxa"/>
            <w:vAlign w:val="center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Մաքուր պահարանը նախատեսված է այնպիսի նմուշների հետ աշխատելու համար, ինչպիսիք են ԴՆԹ/ՌՆԹ պարունակող նմուշները։ Պետք է ունենա ուլտրամանուշակագույն լամպ պարբերաբար ախտահանման համար։ Այն պետք է լինի հարմար լաբորատոր սեղանի վրա տեղադրելու համար։ Պետք է ունենա մետաղական կարկաս, պատերը՝ պլեքսիգլաս, ներկված էմալե մակերեսներ։ ՈՒՄ լամպը պետք է ախտահանի աշխատանքային տարածքը 15-30 րոպե ազդեցության ընթացքում, որը կարգավորվում է թվային ժամանակաչափով՝ քայքայելով առկա ԴՆԹ/ՌՆԹ հատվածներ: Պետք է ունենա լուսային լամպ՝ ապահովելու պատշաճ լուսավորություն։ Պետք է հագեցած լինի հոսքային տիպի մանրէասպան ուլտրամանուշակագույն մաքրող-ռեցիրկուլյատոր AR համակարգով, որն ապահովում է պահարանում մշտական </w:t>
            </w:r>
            <w:r w:rsidRPr="00B61F9A">
              <w:rPr>
                <w:rFonts w:ascii="Times New Roman" w:hAnsi="Times New Roman"/>
                <w:color w:val="232323"/>
                <w:spacing w:val="5"/>
                <w:sz w:val="18"/>
                <w:szCs w:val="18"/>
                <w:lang w:val="hy-AM"/>
              </w:rPr>
              <w:t>​​​​</w:t>
            </w: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ախտահանում աշխատանքի ընթացքում: Համակարգը բաղկացած է ՈՒՄ լամպից, օդափոխիչից և վերջին սերնդի ֆիլտրերից և ունի այնպիսի տեղադրություն, որի աշխատանքի ժամանակ շահագործողը պաշտպանված ՝ ՈՒՄ ճառագայթների ազդեցությունից։  Օդի վերաշրջանառությունը մեծացնում է </w:t>
            </w: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lastRenderedPageBreak/>
              <w:t xml:space="preserve">ուլտրամանուշակագույն լույսի առավելագույն ազդեցությանը՝ այն դարձնելով բավականաչափ արդյունավետ աղտոտիչ ԴՆԹ/ՌՆԹ մոլեկուլների քայքայման համար։ 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ՈւՄ լամպերը պետք է ունենան միջինը 9000 աշխատանքային ժամ։ Պահարանը պետք է ունենա ավոտմատ անջատման համակարգ ՈւՄ լամպի անջատման, երբ պահարանը բացվի։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Աշխատանքի ընթացքը ապահովվում է ցածր աղմուկով և էներգիայի սպառմամբ։ 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Պատերի նյութը՝ պլեքսիգլաս. պոլիմեթիլ մետակրիլատ ALTUGLAS EX,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Աշխատանքային մակերեսի նյութ՝ չժանգոտվող պողպատ՝ քիմիական նյութերի նկատմամբ բարձր դիմացկունությամբ։ 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Բաց ՈՒՄ լամպ՝ 1 x 25Վ ներկառուցված պահարանում (մանրէասպան UV-C, TUV 25W 1SL/25), ՈւՄ ճառագայթման մակարդակ՝ 18 մՎտ/սմ</w:t>
            </w: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vertAlign w:val="superscript"/>
                <w:lang w:val="hy-AM"/>
              </w:rPr>
              <w:t>2</w:t>
            </w: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/վրկ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Ճառագայթման տեսակ՝ ՈւՄ (λ = 253.7 նմ), օզոնից զերծ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Ուղիղ ՈւՄ ճառագայթման թվային ժամանակի կարգավորում՝ 1 րոպեից 24 ժամ, ավելացման քայլը՝ 1 րոպե,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ՈւՄ-վերաշրջանառող 1x25Վ (արդյունավետություն &gt;99%/ժամ)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Ցերեկային լուսային լամպ (աշխատանքային տարածքի լուսավորության համար) 1 x TLD-15Վ,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Կողային վահանակների հաստությունը՝ առնվազն 4 մմ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Վերին առջևի վահանակի հաստությունը՝ առնվազն 8 մմ,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Օպտիկական թափանցելիություն՝ առնվազն 92%,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ՈւՄ պաշտպանություն &gt;99.90%,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Աշխատանքային տարածք՝ առնվազն 645 × 490 մմ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Բացման չափսեր (ամբողջությամբ բարձրացված պաշտպանիչ էկրան)՝ առնվազն 645 × 165 մմ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anchor distT="0" distB="0" distL="114300" distR="114300" simplePos="0" relativeHeight="251746304" behindDoc="0" locked="0" layoutInCell="1" allowOverlap="1" wp14:anchorId="5C88A36A" wp14:editId="00F20F00">
                  <wp:simplePos x="0" y="0"/>
                  <wp:positionH relativeFrom="column">
                    <wp:posOffset>2738120</wp:posOffset>
                  </wp:positionH>
                  <wp:positionV relativeFrom="paragraph">
                    <wp:posOffset>190500</wp:posOffset>
                  </wp:positionV>
                  <wp:extent cx="1620520" cy="1397000"/>
                  <wp:effectExtent l="0" t="0" r="0" b="0"/>
                  <wp:wrapSquare wrapText="bothSides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0520" cy="1397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Պահարանի ներսում գտնվող էլեկտրական վարդակներ՝ էլեկտրական լարերի մուտք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Ընդհանուր չափսեր (Լայնություն x Խորություն x Բարձրություն)՝ առնվազն 720 × 535 × 555 մմ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Քաշ՝ առնվազն 23 կգ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Էներգիայի սպառում՝ 67 Վտ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Նոմինալ աշխատանքային լարում՝ 100-240 Վ, 50/60 Հց</w:t>
            </w:r>
          </w:p>
          <w:p w:rsidR="00B7333F" w:rsidRPr="005545D4" w:rsidRDefault="00B7333F" w:rsidP="00B7333F">
            <w:pPr>
              <w:rPr>
                <w:rFonts w:ascii="Sylfaen" w:hAnsi="Sylfaen"/>
                <w:sz w:val="18"/>
                <w:szCs w:val="18"/>
                <w:lang w:val="hy-AM"/>
              </w:rPr>
            </w:pP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եվրոպական արտադրության, բարձր որակի, լինի նոր, չօգտագործված, չպարունակի կիսամաշ դետալներ, իսկ փաթեթը՝ չվնասված և ապահովված համապատասխան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պահպանման պայմաններով մատակարարման ամբողջ ընթացքում: Մատակարարումը և տեղադրումը, ինչպես նաև անհրաժեշտ միացումները պետք է իրականացվեն մատակարարի կողմից։ Պետք է առկա լինի արտադրողի հավաստագիրը, և մատակարարվի ստուգաչափված վիճակում՝ առկա բոլոր փաստաթղթերով։ Տեղադրելուց և աշխատանքային վիճակի բերելու հետո երաշխիք 1 տարի։ Մատակարարումից առաջ համաձայնեցնել պատվիրատուի հետ:</w:t>
            </w:r>
          </w:p>
        </w:tc>
        <w:tc>
          <w:tcPr>
            <w:tcW w:w="830" w:type="dxa"/>
          </w:tcPr>
          <w:p w:rsidR="00B7333F" w:rsidRPr="00B61F9A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lastRenderedPageBreak/>
              <w:t>հատ</w:t>
            </w:r>
          </w:p>
        </w:tc>
      </w:tr>
      <w:tr w:rsidR="00B7333F" w:rsidRPr="00B61F9A" w:rsidTr="00B7333F">
        <w:trPr>
          <w:trHeight w:val="362"/>
          <w:jc w:val="center"/>
        </w:trPr>
        <w:tc>
          <w:tcPr>
            <w:tcW w:w="704" w:type="dxa"/>
          </w:tcPr>
          <w:p w:rsidR="00B7333F" w:rsidRPr="00B61F9A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13</w:t>
            </w:r>
          </w:p>
        </w:tc>
        <w:tc>
          <w:tcPr>
            <w:tcW w:w="1640" w:type="dxa"/>
          </w:tcPr>
          <w:p w:rsidR="00B7333F" w:rsidRPr="00C7000B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</w:pPr>
            <w:r w:rsidRPr="00C7000B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33191310</w:t>
            </w:r>
            <w:r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  <w:t>/14</w:t>
            </w:r>
          </w:p>
        </w:tc>
        <w:tc>
          <w:tcPr>
            <w:tcW w:w="1350" w:type="dxa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0.2 մլ ՊՇՌ միկրոփորձանոթներ</w:t>
            </w:r>
          </w:p>
        </w:tc>
        <w:tc>
          <w:tcPr>
            <w:tcW w:w="8492" w:type="dxa"/>
            <w:vAlign w:val="center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Պատրաստված բնական պրոպիլենից։ Պետք է ունենա ամրացված հարթ կափարիչ։ Միկրոպորձանոթները չպետք է պարունակեն  ԴՆԹազ, ՌՆԹազ, մարդու ԴՆԹ և պետք է լինեն ոչ պիրոգեն։ Միկրոփորձանոթները պետք է ունենան բարակ պատեր, որոնք կնպաստեն ջերմության </w:t>
            </w: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lastRenderedPageBreak/>
              <w:t>արդյունավետ անցմանը։ 1 հատը համապատասխանում է 10000 ՊՇՌ միկրոփորձանոթի։ Փաթեթավորումը 1000-ական 10 տուփերով։ Մատակարարումը համապատասխան փաստաթղթերով։ Ապրանքը պետք է լինի նոր և չօգտագործված, մատակարարումը պատշաճ պայմաններում։ Առկա լինի արտադրողի հավաստագիր։ Մատակարարումից առնվազն 1 օր առաջ համաձայնեցնել պատվիրատուի հետ: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</w:p>
        </w:tc>
        <w:tc>
          <w:tcPr>
            <w:tcW w:w="830" w:type="dxa"/>
          </w:tcPr>
          <w:p w:rsidR="00B7333F" w:rsidRPr="00B61F9A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lastRenderedPageBreak/>
              <w:t>Հատ</w:t>
            </w:r>
          </w:p>
        </w:tc>
      </w:tr>
      <w:tr w:rsidR="00B7333F" w:rsidRPr="00B61F9A" w:rsidTr="00B7333F">
        <w:trPr>
          <w:trHeight w:val="362"/>
          <w:jc w:val="center"/>
        </w:trPr>
        <w:tc>
          <w:tcPr>
            <w:tcW w:w="704" w:type="dxa"/>
          </w:tcPr>
          <w:p w:rsidR="00B7333F" w:rsidRPr="00B61F9A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14</w:t>
            </w:r>
          </w:p>
        </w:tc>
        <w:tc>
          <w:tcPr>
            <w:tcW w:w="1640" w:type="dxa"/>
          </w:tcPr>
          <w:p w:rsidR="00B7333F" w:rsidRPr="00C7000B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</w:pPr>
            <w:r w:rsidRPr="00DC3C35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33691167</w:t>
            </w:r>
            <w:r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  <w:t>/77</w:t>
            </w:r>
          </w:p>
        </w:tc>
        <w:tc>
          <w:tcPr>
            <w:tcW w:w="1350" w:type="dxa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Պետրիի թասեր</w:t>
            </w:r>
          </w:p>
        </w:tc>
        <w:tc>
          <w:tcPr>
            <w:tcW w:w="8492" w:type="dxa"/>
            <w:vAlign w:val="center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Պոլիստիրենային, մանրէազերծ Պետրիի թասեր կափարիչով՝ ստանդարտ մանրէաբանական վերլուծությունների համար։ Օպտիկապես մաքուր, թափանցիկ, մանրէազերծված։ Պետք է ունենա հարթ դարսման մակերեսներ, որոնք կապահովեն բարձր չափային կայունություն և իրար վրա շարելու հնարավորություն։ 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Չափերը՝ 94 x 16 մմ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Մեծ երեսի արտաքին տրամագիծը 93 մմ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Ընդհանուր բարձրությունը 16 մմ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Փոքր երեսի արտաքին տրամագիծը 87 մմ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Զերծ ԴՆԹազ, ՌՆԹազ, ֆերմենտների արգելակիչներից և պիրոգեն նյութերից։ 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Մատակարարումը համապատասխան փաստաթղթերով։ Ապրանքը պետք է լինի նոր և չօգտագործված, մատակարարումը պատշաճ պայմաններում։ Առկա լինի արտադրողի հավաստագիր։ Մատակարարումից առնվազն 1 օր առաջ համաձայնեցնել պատվիրատուի հետ: Փաթեթավորումը 20-ական Պետրիի թասերով։ 1 հատը համապատասխանում է 1 փաթեթին։</w:t>
            </w:r>
          </w:p>
        </w:tc>
        <w:tc>
          <w:tcPr>
            <w:tcW w:w="830" w:type="dxa"/>
          </w:tcPr>
          <w:p w:rsidR="00B7333F" w:rsidRPr="00B61F9A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Հատ</w:t>
            </w:r>
          </w:p>
        </w:tc>
      </w:tr>
      <w:tr w:rsidR="00B7333F" w:rsidRPr="00B61F9A" w:rsidTr="00B7333F">
        <w:trPr>
          <w:trHeight w:val="362"/>
          <w:jc w:val="center"/>
        </w:trPr>
        <w:tc>
          <w:tcPr>
            <w:tcW w:w="704" w:type="dxa"/>
          </w:tcPr>
          <w:p w:rsidR="00B7333F" w:rsidRPr="00B61F9A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15</w:t>
            </w:r>
          </w:p>
        </w:tc>
        <w:tc>
          <w:tcPr>
            <w:tcW w:w="1640" w:type="dxa"/>
          </w:tcPr>
          <w:p w:rsidR="00B7333F" w:rsidRPr="00C7000B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</w:pPr>
            <w:r w:rsidRPr="00C7000B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33191310</w:t>
            </w:r>
            <w:r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  <w:t>/15</w:t>
            </w:r>
          </w:p>
        </w:tc>
        <w:tc>
          <w:tcPr>
            <w:tcW w:w="1350" w:type="dxa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Հավաքման փորձանոթ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</w:p>
        </w:tc>
        <w:tc>
          <w:tcPr>
            <w:tcW w:w="8492" w:type="dxa"/>
            <w:vAlign w:val="center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Հավաքման փորձանոթ՝ պատրաստված դիմացկուն պոլիպրոպիլենից, Ծավալը 2 մլ: Նախատեսված են կենսաբանական նմուշների, այդ թվում՝ ԴՆԹ-ի, ՌՆԹ-ի և մանրէային նմուշների հավաքման, կայունացման և պահպանման համար կամ հետագա վերլուծությունների համար, ինչպիսիք են՝ սեկվենավորումը, ՊՇՌ-ն և մետագենոմիկան: Կիրառվում է այնպիսի նմուշների համար, ինչպիսիք են՝ արյան, մեզի և հյուսվածքների նմուշներ, այլ կենսաբանական նմուշներ։ Դրանք ապացուցել են իրենց հատկապես արժեքավոր լինելը միկրոբիոմի վերլուծության մեջ՝ ապահովելով մանրէային բազմազանության պահպանումը և նպաստելով մետագենոմիկ ճշգրիտ ուսումնասիրություններին: Ապահովում է նմուշները զերծ լինեն աղտոտիչներից և բարձրացնեն մոլեկուլային վերլուծությունների ճշգրտությունը, այսինքն՝ զերծ է ցանկացած կոնտամինանտներից։  Մատակարարումը տութերով, յուրաքանչյուրում 50 հատ։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noProof/>
                <w:color w:val="232323"/>
                <w:spacing w:val="5"/>
                <w:sz w:val="18"/>
                <w:szCs w:val="18"/>
                <w:lang w:eastAsia="en-US"/>
              </w:rPr>
              <w:drawing>
                <wp:anchor distT="0" distB="0" distL="114300" distR="114300" simplePos="0" relativeHeight="251747328" behindDoc="0" locked="0" layoutInCell="1" allowOverlap="1" wp14:anchorId="61361F48" wp14:editId="745AF468">
                  <wp:simplePos x="0" y="0"/>
                  <wp:positionH relativeFrom="column">
                    <wp:posOffset>3176905</wp:posOffset>
                  </wp:positionH>
                  <wp:positionV relativeFrom="paragraph">
                    <wp:posOffset>-7620</wp:posOffset>
                  </wp:positionV>
                  <wp:extent cx="1186180" cy="1189990"/>
                  <wp:effectExtent l="0" t="0" r="0" b="0"/>
                  <wp:wrapSquare wrapText="bothSides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6180" cy="11899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նոր, չօգտագործված, մանրէազերծ, պատշաճ փաթեթավորմամբ, մատակարարումը՝ պատշաճ պայմաններում։ Առկա լինի արտադրողի հավաստագիրը, որը նախատեսված է նման նմուշների հավաքման և պահպանման համար։ Մատակարարումից առնվազն 1 օր առաջ համաձայնեցնել պատվիրատուի հետ:</w:t>
            </w:r>
          </w:p>
        </w:tc>
        <w:tc>
          <w:tcPr>
            <w:tcW w:w="830" w:type="dxa"/>
          </w:tcPr>
          <w:p w:rsidR="00B7333F" w:rsidRPr="00B61F9A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հատ</w:t>
            </w:r>
          </w:p>
        </w:tc>
      </w:tr>
      <w:tr w:rsidR="00B7333F" w:rsidRPr="00B61F9A" w:rsidTr="00B7333F">
        <w:trPr>
          <w:trHeight w:val="362"/>
          <w:jc w:val="center"/>
        </w:trPr>
        <w:tc>
          <w:tcPr>
            <w:tcW w:w="704" w:type="dxa"/>
          </w:tcPr>
          <w:p w:rsidR="00B7333F" w:rsidRPr="00B61F9A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16</w:t>
            </w:r>
          </w:p>
        </w:tc>
        <w:tc>
          <w:tcPr>
            <w:tcW w:w="1640" w:type="dxa"/>
          </w:tcPr>
          <w:p w:rsidR="00B7333F" w:rsidRPr="00C7000B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</w:pPr>
            <w:r w:rsidRPr="00DC3C35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33691167</w:t>
            </w:r>
            <w:r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  <w:t>/78</w:t>
            </w:r>
          </w:p>
        </w:tc>
        <w:tc>
          <w:tcPr>
            <w:tcW w:w="1350" w:type="dxa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Սպինային մաքրման </w:t>
            </w: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lastRenderedPageBreak/>
              <w:t>աշտարակներ 1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</w:p>
        </w:tc>
        <w:tc>
          <w:tcPr>
            <w:tcW w:w="8492" w:type="dxa"/>
            <w:vAlign w:val="center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lastRenderedPageBreak/>
              <w:t>Այն կիրառվում է ՊՇՌ անալիզի նմուշներից ԴՆԹ-ի և/կամ ՌՆԹ-ի մաքրման համար: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noProof/>
                <w:color w:val="232323"/>
                <w:spacing w:val="5"/>
                <w:sz w:val="18"/>
                <w:szCs w:val="18"/>
                <w:lang w:eastAsia="en-US"/>
              </w:rPr>
              <w:lastRenderedPageBreak/>
              <w:drawing>
                <wp:anchor distT="0" distB="0" distL="114300" distR="114300" simplePos="0" relativeHeight="251748352" behindDoc="0" locked="0" layoutInCell="1" allowOverlap="1" wp14:anchorId="605F2A9F" wp14:editId="3DF304E1">
                  <wp:simplePos x="0" y="0"/>
                  <wp:positionH relativeFrom="column">
                    <wp:posOffset>3759835</wp:posOffset>
                  </wp:positionH>
                  <wp:positionV relativeFrom="paragraph">
                    <wp:posOffset>217805</wp:posOffset>
                  </wp:positionV>
                  <wp:extent cx="603250" cy="906145"/>
                  <wp:effectExtent l="0" t="0" r="6350" b="8255"/>
                  <wp:wrapSquare wrapText="bothSides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3250" cy="906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Ունի ամուր պոլիպրոպիլենային կառուցվածք և պարունակում է սիլիցիումի մատրիք, որը թույլ է տալիս մաքրել մինչև 25 մկգ ԴՆԹ, և 50 մկգ ՌՆԹ՝ ≥ 25 մկլ էլյուատում: Տարողությունը 900 մկլ: Մատակարարվում է տուփով՝ 100 հատ, որը համապատասխանում է 1 հատին։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Մատակարարումը համապատասխան փաստաթղթերով։ Ապրանքը պետք է լինի նոր և չօգտագործված, բարձր որակը, մատակարարումը պատշաճ պայմաններում։ Առկա լինի արտադրողի հավաստագիր։ Մատակարարումից առնվազն 1 օր առաջ համաձայնեցնել պատվիրատուի հետ:</w:t>
            </w:r>
          </w:p>
        </w:tc>
        <w:tc>
          <w:tcPr>
            <w:tcW w:w="830" w:type="dxa"/>
          </w:tcPr>
          <w:p w:rsidR="00B7333F" w:rsidRPr="00B61F9A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lastRenderedPageBreak/>
              <w:t>հատ</w:t>
            </w:r>
          </w:p>
        </w:tc>
      </w:tr>
      <w:tr w:rsidR="00B7333F" w:rsidRPr="00B61F9A" w:rsidTr="00B7333F">
        <w:trPr>
          <w:trHeight w:val="362"/>
          <w:jc w:val="center"/>
        </w:trPr>
        <w:tc>
          <w:tcPr>
            <w:tcW w:w="704" w:type="dxa"/>
          </w:tcPr>
          <w:p w:rsidR="00B7333F" w:rsidRPr="00B61F9A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17</w:t>
            </w:r>
          </w:p>
        </w:tc>
        <w:tc>
          <w:tcPr>
            <w:tcW w:w="1640" w:type="dxa"/>
          </w:tcPr>
          <w:p w:rsidR="00B7333F" w:rsidRPr="00C7000B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</w:pPr>
            <w:r w:rsidRPr="00DC3C35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33691167</w:t>
            </w:r>
            <w:r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  <w:t>/79</w:t>
            </w:r>
          </w:p>
        </w:tc>
        <w:tc>
          <w:tcPr>
            <w:tcW w:w="1350" w:type="dxa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Սպինային մաքրման աշտարակներ 2</w:t>
            </w:r>
          </w:p>
        </w:tc>
        <w:tc>
          <w:tcPr>
            <w:tcW w:w="8492" w:type="dxa"/>
            <w:vAlign w:val="center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Այն կիրառվում է բջջում առկա ԴՆԹ/ՌՆԹ մոլեկուլների անջատման համար։ Կարող է կիրառվել ՊՇՌ անալիզի նմուշներից անջատման համար։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Ունի ամուր պոլիպրոպիլենային կառուցվածք և պարունակում է սիլիցիումի մատրիքս, որը թույլ է տալիս մաքրել մինչև 10 մկգ ԴՆԹ առնվազն 95% արդյունավետությամբ։  էլյուատ ≥ 30 մկլ: 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Անջատված ԴՆԹ հատվածների չափս՝ 100 զույգ հիմք – 10 կբ։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Մատակարարվում է տուփով՝ 50 հատ, որը համապատասխանում է 1 հատին։</w:t>
            </w:r>
          </w:p>
          <w:p w:rsidR="00B7333F" w:rsidRPr="005545D4" w:rsidRDefault="00B7333F" w:rsidP="00B7333F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/>
                <w:noProof/>
                <w:sz w:val="18"/>
                <w:szCs w:val="18"/>
                <w:lang w:eastAsia="en-US"/>
              </w:rPr>
              <w:drawing>
                <wp:anchor distT="0" distB="0" distL="114300" distR="114300" simplePos="0" relativeHeight="251749376" behindDoc="0" locked="0" layoutInCell="1" allowOverlap="1" wp14:anchorId="2F0F13E4" wp14:editId="707AD7BC">
                  <wp:simplePos x="0" y="0"/>
                  <wp:positionH relativeFrom="column">
                    <wp:posOffset>2421255</wp:posOffset>
                  </wp:positionH>
                  <wp:positionV relativeFrom="paragraph">
                    <wp:posOffset>133985</wp:posOffset>
                  </wp:positionV>
                  <wp:extent cx="1899285" cy="949325"/>
                  <wp:effectExtent l="0" t="0" r="5715" b="3175"/>
                  <wp:wrapSquare wrapText="bothSides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9285" cy="949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B7333F" w:rsidRPr="00B61F9A" w:rsidRDefault="00B7333F" w:rsidP="00B7333F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Մատակարարումը համապատասխան փաստաթղթերով։ Ապրանքը պետք է լինի նոր և չօգտագործված, մատակարարումը պատշաճ պայմաններում։ Առկա լինի արտադրողի հավաստագիր։ Մատակարարումից առնվազն 1 օր առաջ համաձայնեցնել պատվիրատուի</w:t>
            </w:r>
            <w:r w:rsidRPr="00B61F9A">
              <w:rPr>
                <w:rFonts w:ascii="Sylfaen" w:hAnsi="Sylfaen"/>
                <w:sz w:val="18"/>
                <w:szCs w:val="18"/>
                <w:lang w:val="hy-AM"/>
              </w:rPr>
              <w:t xml:space="preserve"> հետ:</w:t>
            </w:r>
          </w:p>
        </w:tc>
        <w:tc>
          <w:tcPr>
            <w:tcW w:w="830" w:type="dxa"/>
          </w:tcPr>
          <w:p w:rsidR="00B7333F" w:rsidRPr="00B61F9A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հատ</w:t>
            </w:r>
          </w:p>
        </w:tc>
      </w:tr>
      <w:tr w:rsidR="00B7333F" w:rsidRPr="00B61F9A" w:rsidTr="00B7333F">
        <w:trPr>
          <w:trHeight w:val="362"/>
          <w:jc w:val="center"/>
        </w:trPr>
        <w:tc>
          <w:tcPr>
            <w:tcW w:w="704" w:type="dxa"/>
          </w:tcPr>
          <w:p w:rsidR="00B7333F" w:rsidRPr="00B61F9A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18</w:t>
            </w:r>
          </w:p>
        </w:tc>
        <w:tc>
          <w:tcPr>
            <w:tcW w:w="1640" w:type="dxa"/>
          </w:tcPr>
          <w:p w:rsidR="00B7333F" w:rsidRPr="00C7000B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</w:pPr>
            <w:r w:rsidRPr="00C7000B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33791300</w:t>
            </w:r>
            <w:r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  <w:t>/28</w:t>
            </w:r>
          </w:p>
        </w:tc>
        <w:tc>
          <w:tcPr>
            <w:tcW w:w="1350" w:type="dxa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Ապակե տարա խցանով, 10 լ</w:t>
            </w:r>
          </w:p>
        </w:tc>
        <w:tc>
          <w:tcPr>
            <w:tcW w:w="8492" w:type="dxa"/>
            <w:vAlign w:val="center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Շշերը նախատեսված են լաբորատոր լուծույթների, քիմիական նյութերի պահպանման և փոխադրման համար, GԼ 45 կափարիչով: Նյութը՝ բորոսիլիկատ ապակի կամ համարժեք, Ծավալը՝  10000 մլ , Կափարիչի տրամագիծ՝ GLS 45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Ջերմաստիճանային դիմացկունություն՝ մինչև +140°C (կափարիչով), մինչև +500°C (առանց կափարիչի)։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նոր, չօգտագործված, փաթեթը չվնասված և ապահովված համապատասխան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պահպանման պայմաններով մատակարարման ամբողջ ընթացքում: Մատակարարումից առաջ համաձայնեցնել պատվիրատուի հետ:</w:t>
            </w:r>
          </w:p>
        </w:tc>
        <w:tc>
          <w:tcPr>
            <w:tcW w:w="830" w:type="dxa"/>
          </w:tcPr>
          <w:p w:rsidR="00B7333F" w:rsidRPr="00B61F9A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հատ</w:t>
            </w:r>
          </w:p>
        </w:tc>
      </w:tr>
      <w:tr w:rsidR="00B7333F" w:rsidRPr="00B61F9A" w:rsidTr="00B7333F">
        <w:trPr>
          <w:trHeight w:val="362"/>
          <w:jc w:val="center"/>
        </w:trPr>
        <w:tc>
          <w:tcPr>
            <w:tcW w:w="704" w:type="dxa"/>
          </w:tcPr>
          <w:p w:rsidR="00B7333F" w:rsidRPr="00B61F9A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19</w:t>
            </w:r>
          </w:p>
        </w:tc>
        <w:tc>
          <w:tcPr>
            <w:tcW w:w="1640" w:type="dxa"/>
          </w:tcPr>
          <w:p w:rsidR="00B7333F" w:rsidRPr="00C7000B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</w:pPr>
            <w:r w:rsidRPr="00C7000B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33791300</w:t>
            </w:r>
            <w:r>
              <w:rPr>
                <w:rFonts w:ascii="Sylfaen" w:hAnsi="Sylfaen" w:cs="Sylfaen"/>
                <w:color w:val="232323"/>
                <w:spacing w:val="5"/>
                <w:sz w:val="18"/>
                <w:szCs w:val="18"/>
              </w:rPr>
              <w:t>/29</w:t>
            </w:r>
          </w:p>
        </w:tc>
        <w:tc>
          <w:tcPr>
            <w:tcW w:w="1350" w:type="dxa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Ապակե տարա խցանով, 20 լ</w:t>
            </w:r>
          </w:p>
        </w:tc>
        <w:tc>
          <w:tcPr>
            <w:tcW w:w="8492" w:type="dxa"/>
            <w:vAlign w:val="center"/>
          </w:tcPr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Շշերը նախատեսված են լաբորատոր լուծույթների, քիմիական նյութերի պահպանման և փոխադրման համար, GԼ 45 կափարիչով: Նյութը՝ բորոսիլիկատ ապակի կամ համարժեք, Ծավալը՝  20000 մլ , Կափարիչի տրամագիծ՝ GLS 45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Ջերմաստիճանային դիմացկունություն՝ մինչև +140°C (կափարիչով), մինչև +500°C (առանց կափարիչի)։</w:t>
            </w:r>
          </w:p>
          <w:p w:rsidR="00B7333F" w:rsidRPr="00B61F9A" w:rsidRDefault="00B7333F" w:rsidP="00B7333F">
            <w:pPr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Ապրանքը պետք է լինի նոր, չօգտագործված, փաթեթը չվնասված և ապահովված համապատասխան</w:t>
            </w:r>
          </w:p>
          <w:p w:rsidR="00B7333F" w:rsidRPr="00B61F9A" w:rsidRDefault="00B7333F" w:rsidP="00B7333F">
            <w:pPr>
              <w:rPr>
                <w:rFonts w:ascii="Sylfaen" w:hAnsi="Sylfaen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 xml:space="preserve">պահպանման պայմաններով մատակարարման ամբողջ ընթացքում: Մատակարարումից առաջ համաձայնեցնել պատվիրատուի հետ: </w:t>
            </w:r>
          </w:p>
        </w:tc>
        <w:tc>
          <w:tcPr>
            <w:tcW w:w="830" w:type="dxa"/>
          </w:tcPr>
          <w:p w:rsidR="00B7333F" w:rsidRPr="00B61F9A" w:rsidRDefault="00B7333F" w:rsidP="00B7333F">
            <w:pPr>
              <w:jc w:val="center"/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</w:pPr>
            <w:r w:rsidRPr="00B61F9A">
              <w:rPr>
                <w:rFonts w:ascii="Sylfaen" w:hAnsi="Sylfaen" w:cs="Sylfaen"/>
                <w:color w:val="232323"/>
                <w:spacing w:val="5"/>
                <w:sz w:val="18"/>
                <w:szCs w:val="18"/>
                <w:lang w:val="hy-AM"/>
              </w:rPr>
              <w:t>հատ</w:t>
            </w:r>
          </w:p>
        </w:tc>
      </w:tr>
    </w:tbl>
    <w:p w:rsidR="00FA461F" w:rsidRDefault="00FA461F"/>
    <w:sectPr w:rsidR="00FA461F" w:rsidSect="00B7333F">
      <w:pgSz w:w="16840" w:h="11907" w:orient="landscape" w:code="9"/>
      <w:pgMar w:top="851" w:right="1134" w:bottom="1418" w:left="1134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Armenian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333F"/>
    <w:rsid w:val="00B34715"/>
    <w:rsid w:val="00B7333F"/>
    <w:rsid w:val="00FA46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80FEC71"/>
  <w15:chartTrackingRefBased/>
  <w15:docId w15:val="{F2ACC234-5125-4396-B55C-583A1156FC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theme="minorBidi"/>
        <w:sz w:val="24"/>
        <w:szCs w:val="22"/>
        <w:lang w:val="en-US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7333F"/>
    <w:pPr>
      <w:spacing w:line="240" w:lineRule="auto"/>
    </w:pPr>
    <w:rPr>
      <w:rFonts w:ascii="Times Armenian" w:eastAsia="Times New Roman" w:hAnsi="Times Armenian" w:cs="Times New Roman"/>
      <w:szCs w:val="20"/>
      <w:lang w:eastAsia="ru-R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B7333F"/>
    <w:pPr>
      <w:spacing w:line="240" w:lineRule="auto"/>
    </w:pPr>
    <w:rPr>
      <w:rFonts w:asciiTheme="minorHAnsi" w:hAnsiTheme="minorHAnsi"/>
      <w:sz w:val="22"/>
      <w:lang w:val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2942</Words>
  <Characters>16773</Characters>
  <Application>Microsoft Office Word</Application>
  <DocSecurity>0</DocSecurity>
  <Lines>139</Lines>
  <Paragraphs>39</Paragraphs>
  <ScaleCrop>false</ScaleCrop>
  <Company/>
  <LinksUpToDate>false</LinksUpToDate>
  <CharactersWithSpaces>19676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ysu.admin</dc:creator>
  <cp:keywords/>
  <dc:description/>
  <cp:lastModifiedBy>ysu.admin</cp:lastModifiedBy>
  <cp:revision>1</cp:revision>
  <dcterms:created xsi:type="dcterms:W3CDTF">2026-03-04T06:40:00Z</dcterms:created>
  <dcterms:modified xsi:type="dcterms:W3CDTF">2026-03-04T06:41:00Z</dcterms:modified>
</cp:coreProperties>
</file>