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3"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5"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B1691D">
        <w:rPr>
          <w:rFonts w:ascii="Calibri" w:hAnsi="Calibri" w:cs="Calibri"/>
          <w:sz w:val="20"/>
          <w:szCs w:val="20"/>
          <w:lang w:val="es-ES"/>
        </w:rPr>
        <w:t xml:space="preserve">7) </w:t>
      </w:r>
      <w:r w:rsidRPr="003F77EE">
        <w:rPr>
          <w:rFonts w:ascii="Calibri" w:hAnsi="Calibri" w:cs="Calibri"/>
          <w:sz w:val="20"/>
          <w:szCs w:val="20"/>
        </w:rPr>
        <w:t>որոնք</w:t>
      </w:r>
      <w:r w:rsidRPr="00B1691D">
        <w:rPr>
          <w:rFonts w:ascii="Calibri" w:hAnsi="Calibri" w:cs="Calibri"/>
          <w:sz w:val="20"/>
          <w:szCs w:val="20"/>
          <w:lang w:val="es-ES"/>
        </w:rPr>
        <w:t xml:space="preserve"> </w:t>
      </w:r>
      <w:r w:rsidRPr="003F77EE">
        <w:rPr>
          <w:rFonts w:ascii="Calibri" w:hAnsi="Calibri" w:cs="Calibri"/>
          <w:sz w:val="20"/>
          <w:szCs w:val="20"/>
        </w:rPr>
        <w:t>ՀՀ</w:t>
      </w:r>
      <w:r w:rsidRPr="00B1691D">
        <w:rPr>
          <w:rFonts w:ascii="Calibri" w:hAnsi="Calibri" w:cs="Calibri"/>
          <w:sz w:val="20"/>
          <w:szCs w:val="20"/>
          <w:lang w:val="es-ES"/>
        </w:rPr>
        <w:t xml:space="preserve"> </w:t>
      </w:r>
      <w:r w:rsidRPr="003F77EE">
        <w:rPr>
          <w:rFonts w:ascii="Calibri" w:hAnsi="Calibri" w:cs="Calibri"/>
          <w:sz w:val="20"/>
          <w:szCs w:val="20"/>
        </w:rPr>
        <w:t>կառավարության</w:t>
      </w:r>
      <w:r w:rsidRPr="00B1691D">
        <w:rPr>
          <w:rFonts w:ascii="Calibri" w:hAnsi="Calibri" w:cs="Calibri"/>
          <w:sz w:val="20"/>
          <w:szCs w:val="20"/>
          <w:lang w:val="es-ES"/>
        </w:rPr>
        <w:t xml:space="preserve"> 20.06.2025</w:t>
      </w:r>
      <w:r w:rsidRPr="003F77EE">
        <w:rPr>
          <w:rFonts w:ascii="Calibri" w:hAnsi="Calibri" w:cs="Calibri"/>
          <w:sz w:val="20"/>
          <w:szCs w:val="20"/>
        </w:rPr>
        <w:t>թ</w:t>
      </w:r>
      <w:r w:rsidRPr="00B1691D">
        <w:rPr>
          <w:rFonts w:ascii="Calibri" w:hAnsi="Calibri" w:cs="Calibri"/>
          <w:sz w:val="20"/>
          <w:szCs w:val="20"/>
          <w:lang w:val="es-ES"/>
        </w:rPr>
        <w:t>. N 817-</w:t>
      </w:r>
      <w:r w:rsidRPr="003F77EE">
        <w:rPr>
          <w:rFonts w:ascii="Calibri" w:hAnsi="Calibri" w:cs="Calibri"/>
          <w:sz w:val="20"/>
          <w:szCs w:val="20"/>
        </w:rPr>
        <w:t>Ա</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1-</w:t>
      </w:r>
      <w:r w:rsidRPr="003F77EE">
        <w:rPr>
          <w:rFonts w:ascii="Calibri" w:hAnsi="Calibri" w:cs="Calibri"/>
          <w:sz w:val="20"/>
          <w:szCs w:val="20"/>
        </w:rPr>
        <w:t>ին</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ենթակետի</w:t>
      </w:r>
      <w:r w:rsidRPr="00B1691D">
        <w:rPr>
          <w:rFonts w:ascii="Calibri" w:hAnsi="Calibri" w:cs="Calibri"/>
          <w:sz w:val="20"/>
          <w:szCs w:val="20"/>
          <w:lang w:val="es-ES"/>
        </w:rPr>
        <w:t xml:space="preserve"> «</w:t>
      </w:r>
      <w:r w:rsidRPr="003F77EE">
        <w:rPr>
          <w:rFonts w:ascii="Calibri" w:hAnsi="Calibri" w:cs="Calibri"/>
          <w:sz w:val="20"/>
          <w:szCs w:val="20"/>
        </w:rPr>
        <w:t>զ</w:t>
      </w:r>
      <w:r w:rsidRPr="00B1691D">
        <w:rPr>
          <w:rFonts w:ascii="Calibri" w:hAnsi="Calibri" w:cs="Calibri"/>
          <w:sz w:val="20"/>
          <w:szCs w:val="20"/>
          <w:lang w:val="es-ES"/>
        </w:rPr>
        <w:t xml:space="preserve">» </w:t>
      </w:r>
      <w:r w:rsidRPr="003F77EE">
        <w:rPr>
          <w:rFonts w:ascii="Calibri" w:hAnsi="Calibri" w:cs="Calibri"/>
          <w:sz w:val="20"/>
          <w:szCs w:val="20"/>
        </w:rPr>
        <w:t>պարբերության</w:t>
      </w:r>
      <w:r w:rsidRPr="00B1691D">
        <w:rPr>
          <w:rFonts w:ascii="Calibri" w:hAnsi="Calibri" w:cs="Calibri"/>
          <w:sz w:val="20"/>
          <w:szCs w:val="20"/>
          <w:lang w:val="es-ES"/>
        </w:rPr>
        <w:t xml:space="preserve"> </w:t>
      </w:r>
      <w:r w:rsidRPr="003F77EE">
        <w:rPr>
          <w:rFonts w:ascii="Calibri" w:hAnsi="Calibri" w:cs="Calibri"/>
          <w:sz w:val="20"/>
          <w:szCs w:val="20"/>
        </w:rPr>
        <w:t>հիման</w:t>
      </w:r>
      <w:r w:rsidRPr="00B1691D">
        <w:rPr>
          <w:rFonts w:ascii="Calibri" w:hAnsi="Calibri" w:cs="Calibri"/>
          <w:sz w:val="20"/>
          <w:szCs w:val="20"/>
          <w:lang w:val="es-ES"/>
        </w:rPr>
        <w:t xml:space="preserve"> </w:t>
      </w:r>
      <w:r w:rsidRPr="003F77EE">
        <w:rPr>
          <w:rFonts w:ascii="Calibri" w:hAnsi="Calibri" w:cs="Calibri"/>
          <w:sz w:val="20"/>
          <w:szCs w:val="20"/>
        </w:rPr>
        <w:t>վրա՝</w:t>
      </w:r>
      <w:r w:rsidRPr="00B1691D">
        <w:rPr>
          <w:rFonts w:ascii="Calibri" w:hAnsi="Calibri" w:cs="Calibri"/>
          <w:sz w:val="20"/>
          <w:szCs w:val="20"/>
          <w:lang w:val="es-ES"/>
        </w:rPr>
        <w:t xml:space="preserve"> </w:t>
      </w:r>
      <w:r w:rsidRPr="003F77EE">
        <w:rPr>
          <w:rFonts w:ascii="Calibri" w:hAnsi="Calibri" w:cs="Calibri"/>
          <w:sz w:val="20"/>
          <w:szCs w:val="20"/>
        </w:rPr>
        <w:t>գնման</w:t>
      </w:r>
      <w:r w:rsidRPr="00B1691D">
        <w:rPr>
          <w:rFonts w:ascii="Calibri" w:hAnsi="Calibri" w:cs="Calibri"/>
          <w:sz w:val="20"/>
          <w:szCs w:val="20"/>
          <w:lang w:val="es-ES"/>
        </w:rPr>
        <w:t xml:space="preserve"> </w:t>
      </w:r>
      <w:r w:rsidRPr="003F77EE">
        <w:rPr>
          <w:rFonts w:ascii="Calibri" w:hAnsi="Calibri" w:cs="Calibri"/>
          <w:sz w:val="20"/>
          <w:szCs w:val="20"/>
        </w:rPr>
        <w:t>գործընթացներին</w:t>
      </w:r>
      <w:r w:rsidRPr="00B1691D">
        <w:rPr>
          <w:rFonts w:ascii="Calibri" w:hAnsi="Calibri" w:cs="Calibri"/>
          <w:sz w:val="20"/>
          <w:szCs w:val="20"/>
          <w:lang w:val="es-ES"/>
        </w:rPr>
        <w:t xml:space="preserve"> </w:t>
      </w:r>
      <w:r w:rsidRPr="003F77EE">
        <w:rPr>
          <w:rFonts w:ascii="Calibri" w:hAnsi="Calibri" w:cs="Calibri"/>
          <w:sz w:val="20"/>
          <w:szCs w:val="20"/>
        </w:rPr>
        <w:t>չմասնակցելու</w:t>
      </w:r>
      <w:r w:rsidRPr="00B1691D">
        <w:rPr>
          <w:rFonts w:ascii="Calibri" w:hAnsi="Calibri" w:cs="Calibri"/>
          <w:sz w:val="20"/>
          <w:szCs w:val="20"/>
          <w:lang w:val="es-ES"/>
        </w:rPr>
        <w:t xml:space="preserve"> </w:t>
      </w:r>
      <w:r w:rsidRPr="003F77EE">
        <w:rPr>
          <w:rFonts w:ascii="Calibri" w:hAnsi="Calibri" w:cs="Calibri"/>
          <w:sz w:val="20"/>
          <w:szCs w:val="20"/>
        </w:rPr>
        <w:t>պարտավորագրերի</w:t>
      </w:r>
      <w:r w:rsidRPr="00B1691D">
        <w:rPr>
          <w:rFonts w:ascii="Calibri" w:hAnsi="Calibri" w:cs="Calibri"/>
          <w:sz w:val="20"/>
          <w:szCs w:val="20"/>
          <w:lang w:val="es-ES"/>
        </w:rPr>
        <w:t xml:space="preserve"> </w:t>
      </w:r>
      <w:r w:rsidRPr="003F77EE">
        <w:rPr>
          <w:rFonts w:ascii="Calibri" w:hAnsi="Calibri" w:cs="Calibri"/>
          <w:sz w:val="20"/>
          <w:szCs w:val="20"/>
        </w:rPr>
        <w:t>հիմքով</w:t>
      </w:r>
      <w:r w:rsidRPr="00B1691D">
        <w:rPr>
          <w:rFonts w:ascii="Calibri" w:hAnsi="Calibri" w:cs="Calibri"/>
          <w:sz w:val="20"/>
          <w:szCs w:val="20"/>
          <w:lang w:val="es-ES"/>
        </w:rPr>
        <w:t xml:space="preserve">, </w:t>
      </w:r>
      <w:r w:rsidRPr="003F77EE">
        <w:rPr>
          <w:rFonts w:ascii="Calibri" w:hAnsi="Calibri" w:cs="Calibri"/>
          <w:sz w:val="20"/>
          <w:szCs w:val="20"/>
        </w:rPr>
        <w:t>հայտը</w:t>
      </w:r>
      <w:r w:rsidRPr="00B1691D">
        <w:rPr>
          <w:rFonts w:ascii="Calibri" w:hAnsi="Calibri" w:cs="Calibri"/>
          <w:sz w:val="20"/>
          <w:szCs w:val="20"/>
          <w:lang w:val="es-ES"/>
        </w:rPr>
        <w:t xml:space="preserve"> </w:t>
      </w:r>
      <w:r w:rsidRPr="003F77EE">
        <w:rPr>
          <w:rFonts w:ascii="Calibri" w:hAnsi="Calibri" w:cs="Calibri"/>
          <w:sz w:val="20"/>
          <w:szCs w:val="20"/>
        </w:rPr>
        <w:t>ներկայացնելու</w:t>
      </w:r>
      <w:r w:rsidRPr="00B1691D">
        <w:rPr>
          <w:rFonts w:ascii="Calibri" w:hAnsi="Calibri" w:cs="Calibri"/>
          <w:sz w:val="20"/>
          <w:szCs w:val="20"/>
          <w:lang w:val="es-ES"/>
        </w:rPr>
        <w:t xml:space="preserve"> </w:t>
      </w:r>
      <w:r w:rsidRPr="003F77EE">
        <w:rPr>
          <w:rFonts w:ascii="Calibri" w:hAnsi="Calibri" w:cs="Calibri"/>
          <w:sz w:val="20"/>
          <w:szCs w:val="20"/>
        </w:rPr>
        <w:t>օրվա</w:t>
      </w:r>
      <w:r w:rsidRPr="00B1691D">
        <w:rPr>
          <w:rFonts w:ascii="Calibri" w:hAnsi="Calibri" w:cs="Calibri"/>
          <w:sz w:val="20"/>
          <w:szCs w:val="20"/>
          <w:lang w:val="es-ES"/>
        </w:rPr>
        <w:t xml:space="preserve"> </w:t>
      </w:r>
      <w:r w:rsidRPr="003F77EE">
        <w:rPr>
          <w:rFonts w:ascii="Calibri" w:hAnsi="Calibri" w:cs="Calibri"/>
          <w:sz w:val="20"/>
          <w:szCs w:val="20"/>
        </w:rPr>
        <w:t>դրությամբ</w:t>
      </w:r>
      <w:r w:rsidRPr="00B1691D">
        <w:rPr>
          <w:rFonts w:ascii="Calibri" w:hAnsi="Calibri" w:cs="Calibri"/>
          <w:sz w:val="20"/>
          <w:szCs w:val="20"/>
          <w:lang w:val="es-ES"/>
        </w:rPr>
        <w:t xml:space="preserve"> </w:t>
      </w:r>
      <w:r w:rsidRPr="003F77EE">
        <w:rPr>
          <w:rFonts w:ascii="Calibri" w:hAnsi="Calibri" w:cs="Calibri"/>
          <w:sz w:val="20"/>
          <w:szCs w:val="20"/>
        </w:rPr>
        <w:t>ներառված</w:t>
      </w:r>
      <w:r w:rsidRPr="00B1691D">
        <w:rPr>
          <w:rFonts w:ascii="Calibri" w:hAnsi="Calibri" w:cs="Calibri"/>
          <w:sz w:val="20"/>
          <w:szCs w:val="20"/>
          <w:lang w:val="es-ES"/>
        </w:rPr>
        <w:t xml:space="preserve"> </w:t>
      </w:r>
      <w:r w:rsidRPr="003F77EE">
        <w:rPr>
          <w:rFonts w:ascii="Calibri" w:hAnsi="Calibri" w:cs="Calibri"/>
          <w:sz w:val="20"/>
          <w:szCs w:val="20"/>
        </w:rPr>
        <w:t>են</w:t>
      </w:r>
      <w:r w:rsidRPr="00B1691D">
        <w:rPr>
          <w:rFonts w:ascii="Calibri" w:hAnsi="Calibri" w:cs="Calibri"/>
          <w:sz w:val="20"/>
          <w:szCs w:val="20"/>
          <w:lang w:val="es-ES"/>
        </w:rPr>
        <w:t xml:space="preserve"> </w:t>
      </w:r>
      <w:r w:rsidRPr="003F77EE">
        <w:rPr>
          <w:rFonts w:ascii="Calibri" w:hAnsi="Calibri" w:cs="Calibri"/>
          <w:sz w:val="20"/>
          <w:szCs w:val="20"/>
        </w:rPr>
        <w:t>նույն</w:t>
      </w:r>
      <w:r w:rsidRPr="00B1691D">
        <w:rPr>
          <w:rFonts w:ascii="Calibri" w:hAnsi="Calibri" w:cs="Calibri"/>
          <w:sz w:val="20"/>
          <w:szCs w:val="20"/>
          <w:lang w:val="es-ES"/>
        </w:rPr>
        <w:t xml:space="preserve"> </w:t>
      </w:r>
      <w:r w:rsidRPr="003F77EE">
        <w:rPr>
          <w:rFonts w:ascii="Calibri" w:hAnsi="Calibri" w:cs="Calibri"/>
          <w:sz w:val="20"/>
          <w:szCs w:val="20"/>
        </w:rPr>
        <w:t>որոշման</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կետի</w:t>
      </w:r>
      <w:r w:rsidRPr="00B1691D">
        <w:rPr>
          <w:rFonts w:ascii="Calibri" w:hAnsi="Calibri" w:cs="Calibri"/>
          <w:sz w:val="20"/>
          <w:szCs w:val="20"/>
          <w:lang w:val="es-ES"/>
        </w:rPr>
        <w:t xml:space="preserve"> 2-</w:t>
      </w:r>
      <w:r w:rsidRPr="003F77EE">
        <w:rPr>
          <w:rFonts w:ascii="Calibri" w:hAnsi="Calibri" w:cs="Calibri"/>
          <w:sz w:val="20"/>
          <w:szCs w:val="20"/>
        </w:rPr>
        <w:t>րդ</w:t>
      </w:r>
      <w:r w:rsidRPr="00B1691D">
        <w:rPr>
          <w:rFonts w:ascii="Calibri" w:hAnsi="Calibri" w:cs="Calibri"/>
          <w:sz w:val="20"/>
          <w:szCs w:val="20"/>
          <w:lang w:val="es-ES"/>
        </w:rPr>
        <w:t xml:space="preserve"> </w:t>
      </w:r>
      <w:r w:rsidRPr="003F77EE">
        <w:rPr>
          <w:rFonts w:ascii="Calibri" w:hAnsi="Calibri" w:cs="Calibri"/>
          <w:sz w:val="20"/>
          <w:szCs w:val="20"/>
        </w:rPr>
        <w:t>ենթակետով</w:t>
      </w:r>
      <w:r w:rsidRPr="00B1691D">
        <w:rPr>
          <w:rFonts w:ascii="Calibri" w:hAnsi="Calibri" w:cs="Calibri"/>
          <w:sz w:val="20"/>
          <w:szCs w:val="20"/>
          <w:lang w:val="es-ES"/>
        </w:rPr>
        <w:t xml:space="preserve"> </w:t>
      </w:r>
      <w:r w:rsidRPr="003F77EE">
        <w:rPr>
          <w:rFonts w:ascii="Calibri" w:hAnsi="Calibri" w:cs="Calibri"/>
          <w:sz w:val="20"/>
          <w:szCs w:val="20"/>
        </w:rPr>
        <w:t>նախատեսված</w:t>
      </w:r>
      <w:r w:rsidRPr="00B1691D">
        <w:rPr>
          <w:rFonts w:ascii="Calibri" w:hAnsi="Calibri" w:cs="Calibri"/>
          <w:sz w:val="20"/>
          <w:szCs w:val="20"/>
          <w:lang w:val="es-ES"/>
        </w:rPr>
        <w:t xml:space="preserve"> </w:t>
      </w:r>
      <w:r w:rsidRPr="003F77EE">
        <w:rPr>
          <w:rFonts w:ascii="Calibri" w:hAnsi="Calibri" w:cs="Calibri"/>
          <w:sz w:val="20"/>
          <w:szCs w:val="20"/>
        </w:rPr>
        <w:t>ցուցակում</w:t>
      </w:r>
      <w:r w:rsidRPr="00B1691D">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376.99</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4.8556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436.97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9.3 Եթե </w:t>
      </w:r>
      <w:r w:rsidR="00B1691D" w:rsidRPr="00B1691D">
        <w:rPr>
          <w:rFonts w:ascii="Calibri" w:hAnsi="Calibri" w:cs="Calibri"/>
          <w:sz w:val="20"/>
          <w:lang w:val="af-ZA"/>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C1C54">
        <w:rPr>
          <w:rFonts w:ascii="Calibri" w:hAnsi="Calibri" w:cs="Calibri"/>
          <w:sz w:val="20"/>
          <w:lang w:val="af-ZA"/>
        </w:rPr>
        <w:t>։</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B1691D" w:rsidRPr="00B1691D">
        <w:rPr>
          <w:rFonts w:ascii="Calibri" w:hAnsi="Calibri" w:cs="Calibri"/>
          <w:sz w:val="20"/>
          <w:lang w:val="ru-RU"/>
        </w:rPr>
        <w:t>սահմանվում</w:t>
      </w:r>
      <w:r w:rsidR="00B1691D" w:rsidRPr="00B1691D">
        <w:rPr>
          <w:rFonts w:ascii="Calibri" w:hAnsi="Calibri" w:cs="Calibri"/>
          <w:sz w:val="20"/>
          <w:lang w:val="af-ZA"/>
        </w:rPr>
        <w:t xml:space="preserve"> </w:t>
      </w:r>
      <w:r w:rsidR="00B1691D" w:rsidRPr="00B1691D">
        <w:rPr>
          <w:rFonts w:ascii="Calibri" w:hAnsi="Calibri" w:cs="Calibri"/>
          <w:sz w:val="20"/>
          <w:lang w:val="ru-RU"/>
        </w:rPr>
        <w:t>է</w:t>
      </w:r>
      <w:r w:rsidR="00B1691D" w:rsidRPr="00B1691D">
        <w:rPr>
          <w:rFonts w:ascii="Calibri" w:hAnsi="Calibri" w:cs="Calibri"/>
          <w:sz w:val="20"/>
          <w:lang w:val="af-ZA"/>
        </w:rPr>
        <w:t xml:space="preserve"> 10 </w:t>
      </w:r>
      <w:r w:rsidR="00B1691D" w:rsidRPr="00B1691D">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w:t>
      </w:r>
      <w:r w:rsidR="008C1C54" w:rsidRPr="008C1C54">
        <w:rPr>
          <w:rFonts w:ascii="Calibri" w:hAnsi="Calibri" w:cs="Calibri"/>
          <w:sz w:val="20"/>
          <w:lang w:val="af-ZA"/>
        </w:rPr>
        <w:lastRenderedPageBreak/>
        <w:t xml:space="preserve">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proofErr w:type="gramStart"/>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ՀՀՎԱ-ԷԱՃԾՁԲ-26/35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C73DE3" w:rsidP="00331F6F">
      <w:pPr>
        <w:jc w:val="both"/>
        <w:rPr>
          <w:rFonts w:asciiTheme="minorHAnsi" w:hAnsiTheme="minorHAnsi" w:cstheme="minorHAnsi"/>
          <w:sz w:val="20"/>
          <w:szCs w:val="20"/>
          <w:lang w:val="es-ES"/>
        </w:rPr>
      </w:pPr>
      <w:r>
        <w:rPr>
          <w:rFonts w:asciiTheme="minorHAnsi" w:hAnsiTheme="minorHAnsi" w:cstheme="minorHAnsi"/>
          <w:vertAlign w:val="superscript"/>
          <w:lang w:val="es-ES"/>
        </w:rPr>
        <w:t xml:space="preserve">  </w:t>
      </w:r>
      <w:proofErr w:type="gramStart"/>
      <w:r w:rsidR="00331F6F" w:rsidRPr="00ED6341">
        <w:rPr>
          <w:rFonts w:asciiTheme="minorHAnsi" w:hAnsiTheme="minorHAnsi" w:cstheme="minorHAnsi"/>
          <w:vertAlign w:val="superscript"/>
          <w:lang w:val="es-ES"/>
        </w:rPr>
        <w:t>մասնակցի</w:t>
      </w:r>
      <w:proofErr w:type="gramEnd"/>
      <w:r w:rsidR="00331F6F" w:rsidRPr="00ED6341">
        <w:rPr>
          <w:rFonts w:asciiTheme="minorHAnsi" w:hAnsiTheme="minorHAnsi" w:cstheme="minorHAnsi"/>
          <w:vertAlign w:val="superscript"/>
          <w:lang w:val="es-ES"/>
        </w:rPr>
        <w:t xml:space="preserve">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w:t>
      </w:r>
      <w:r w:rsidR="00C73DE3">
        <w:rPr>
          <w:rFonts w:asciiTheme="minorHAnsi" w:hAnsiTheme="minorHAnsi" w:cstheme="minorHAnsi"/>
          <w:vertAlign w:val="superscript"/>
          <w:lang w:val="es-ES"/>
        </w:rPr>
        <w:t xml:space="preserve"> </w:t>
      </w:r>
      <w:r w:rsidRPr="00DE7DCF">
        <w:rPr>
          <w:rFonts w:asciiTheme="minorHAnsi" w:hAnsiTheme="minorHAnsi" w:cstheme="minorHAnsi"/>
          <w:vertAlign w:val="superscript"/>
          <w:lang w:val="es-ES"/>
        </w:rPr>
        <w:t xml:space="preserve">                </w:t>
      </w:r>
      <w:proofErr w:type="gramStart"/>
      <w:r w:rsidRPr="00DE7DCF">
        <w:rPr>
          <w:rFonts w:asciiTheme="minorHAnsi" w:hAnsiTheme="minorHAnsi" w:cstheme="minorHAnsi"/>
          <w:vertAlign w:val="superscript"/>
          <w:lang w:val="es-ES"/>
        </w:rPr>
        <w:t>էլ</w:t>
      </w:r>
      <w:proofErr w:type="gramEnd"/>
      <w:r w:rsidRPr="00DE7DCF">
        <w:rPr>
          <w:rFonts w:asciiTheme="minorHAnsi" w:hAnsiTheme="minorHAnsi" w:cstheme="minorHAnsi"/>
          <w:vertAlign w:val="superscript"/>
          <w:lang w:val="es-ES"/>
        </w:rPr>
        <w:t>.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C73DE3" w:rsidRPr="00C73DE3">
        <w:rPr>
          <w:rFonts w:asciiTheme="minorHAnsi" w:hAnsiTheme="minorHAnsi" w:cstheme="minorHAnsi"/>
          <w:sz w:val="20"/>
          <w:szCs w:val="20"/>
          <w:lang w:val="es-ES"/>
        </w:rPr>
        <w:t>«</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ՀՀՎԱ-ԷԱՃԾՁԲ-26/35</w:t>
      </w:r>
      <w:r w:rsidR="00C73DE3">
        <w:rPr>
          <w:rFonts w:asciiTheme="minorHAnsi" w:hAnsiTheme="minorHAnsi" w:cstheme="minorHAnsi"/>
          <w:sz w:val="20"/>
          <w:szCs w:val="20"/>
          <w:lang w:val="hy-AM"/>
        </w:rPr>
        <w:t xml:space="preserve"> </w:t>
      </w:r>
      <w:r w:rsidR="00C73DE3" w:rsidRPr="00C73DE3">
        <w:rPr>
          <w:rFonts w:asciiTheme="minorHAnsi" w:hAnsiTheme="minorHAnsi" w:cstheme="minorHAns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C73DE3"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00803E3C">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00803E3C">
        <w:rPr>
          <w:rFonts w:asciiTheme="minorHAnsi" w:hAnsiTheme="minorHAnsi" w:cstheme="minorHAnsi"/>
          <w:sz w:val="20"/>
          <w:vertAlign w:val="superscript"/>
          <w:lang w:val="hy-AM"/>
        </w:rPr>
        <w:t xml:space="preserve">                                    </w:t>
      </w:r>
      <w:bookmarkStart w:id="8" w:name="_GoBack"/>
      <w:bookmarkEnd w:id="8"/>
      <w:r w:rsidRPr="00ED6341">
        <w:rPr>
          <w:rFonts w:asciiTheme="minorHAnsi" w:hAnsiTheme="minorHAnsi" w:cstheme="minorHAnsi"/>
          <w:sz w:val="20"/>
          <w:vertAlign w:val="superscript"/>
          <w:lang w:val="hy-AM"/>
        </w:rPr>
        <w:t xml:space="preserve">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A20132"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A20132"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82B97">
        <w:rPr>
          <w:rFonts w:asciiTheme="minorHAnsi" w:hAnsiTheme="minorHAnsi" w:cstheme="minorHAnsi"/>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«ՀՀՎԱ-ԷԱՃԾՁԲ-26/35»*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Վարչապետի աշխատակազմ</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ՀՀՎԱ-ԷԱՃԾՁԲ-26/35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«ՀՀՎԱ-ԷԱՃԾՁԲ-26/35»*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ՀՀՎԱ-ԷԱՃԾՁԲ-26/35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ՊԵՏՈՒԹՅԱՆ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__</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2"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«Սփյուռքի երիտասարդ առաջնորդների վերա¬պատրաստում» միջոցառման շրջանակնե¬րում ծառայությունների ձեռքբերում, այդ թվում՝ միջոցառումների հետ կապված ծառայութ¬յուն¬ներ.
Միջոցառումը պետք է կազմակերպել 2026 թ. օգոստոսի 24-ից սեպտեմբերի  6-ը: Օրակարգը նախապես կտրամադրվի Պատվիրատուի կողմից: 
Միջոցառմանը կմասնակցեն տարբեր երկրներից ժամանած 20-35 տարեկան սփյուռքահայ առավելագույնը 30 (երեսուն) երիտասարդ:
1.Հյուրանոցային ծառայությունների ձեռքբե¬րում, այդ թվում՝ Երևանում և Լոռու մարզում:
Հյուրանոցային ծառայությունների ձեռքբերում Երևանում՝
Հյուրանոցի գտնվելու վայրը՝ Սփյուռքի գործերի գլխավոր հանձնակատարի գրասենյակից (հասցե՝ ք.Երևան, Վազգեն Սարգսյան 3) առավելագույնը 2 կմ հեռավորության վրա (Կենտրոն վարչական շրջանում): 
Հյուրանոցը պետք է լինի առնվազն 3 աստղանի՝ ներառյալ նախաճաշ՝ առավելագույնը՝  30 անձի համար՝ 12 գիշեր: Այն պետք է վերանորոգված լինի առնվազն վերջին հինգ տարվա ընթացքում, ունենա առնվազն 30 սենյակ՝ հագեցած հարմարավետ կահավորանքով, առանձնացված լոգասենյակով (լոգախցիկով և սանհանգույցով), ապահովված մշտական տաք և սառը ջրով: Լոգասենյակները բոլոր օրերի ընթացքում պետք է ապահովված լինեն անհրաժեշտ պարագաներով (մեկանգամյա օգտագործման ատամի խոզանակ, ատամի մածուկ, ձեռքի օճառ և շամպույն, սրբիչներով, սրբիչե հողաթափերով) և համապատասխանեն սահմանված սանիտարական բոլոր նորմերին:  
Յուրաքանչյուր հյուրանոցային սենյակ պետք է նախատեսված լինի 1 (մեկ) անձի համար:
Հյուրանոցը նախատեսվում է առավելագույնը 30 անձի համար՝ գիշերակացով` 12 գիշեր, 13 օր՝
•	Ժամանում հյուրանոց (Check in)՝ 24.08.2026 թ.,
•	Մեկնում հյուրանոցից (Check out)՝ 29.08.2026 թ.,  
•	Ժամանում (նույն) հյուրանոց (Check in)՝ 30.08.2026 թ.,
•	Մեկնում հյուրանոցից (Check out)՝ 06.09.2026 թ.: 
Հյուրանոցը պետք է ունենա երկու կոնֆերանս-սրահ՝ համաժամանակյա հանդիպումներ և դասընթացներ անցկացնելու նպատակով և համալրված լինի հարմարավետ կահավորանքով և անհրաժեշտ տեխնիկայով՝ յուրաքանչյուրում՝ 1 պրոյեկտոր, 1 էկրան, առնվազն 1 անլար խոսափող (միկրոֆոն), առնվազն 1 բարձրախոս (դիմամիկ), ինտերնետային կապ (WiFi): Կատարողը պետք է տրամադրի ֆլիպչարթ (եռոտանու հենքով), առնվազն 2 ֆլիպչարթի թուղթ (թերթերի քանակը՝ 20) և համապատասխան մարկերներ՝ առնվազն՝ 3: 
Հյուրանոցային ծառայությունների ձեռքբերում Լոռու մարզում
Հյուրանոցի գտնվելու վայրը՝ գ.Հաղպատ:
Հյուրանոցը պետք է լինի առնվազն 3 աստղանի՝ ներառյալ նախաճաշ՝ առավելագույնը՝ 33 անձի համար (մասնակիցներ և ուղեկցողներ)՝ մեկ գիշերակացով: Այն պետք է վերանորոգված լինի առնվազն վերջին հինգ տարվա ընթացքում, ունենա առնվազն 33 սենյակ՝ հագեցած հարմարավետ կահավորանքով, առանձնացված լոգասենյակով (լոգախցիկով և սանհանգույցով), ապահովված մշտական տաք և սառը ջրով: Լոգասենյակները բոլոր օրերի ընթացքում պետք է ապահովված լինեն անհրաժեշտ պարագաներով (մեկանգամյա օգտագործման ատամի խոզանակ, ատամի մածուկ, ձեռքի օճառ և շամպույն, սրբիչներով, սրբիչե հողաթափերով) և համապատասխանեն սահմանված սանիտարական բոլոր նորմերին:  
Ժամանում հյուրանոց (Check in)՝ 29.08.2026 թ.
Մեկնում հյուրանոցից (Check out)՝ 30.08.2026 թ.:
 2.Միջոցառման բացման և փակման արարողությունները նախատեսվում են Երևան քաղաքում՝ 
Կատարողը պետք է տրամադրի դահլիճ (նախապես համաձայնեցնելով Պատվիրատուի հետ), անհրաժեշտ տեխնիկայով՝ 1 պրոյեկտոր, 1 էկրան, 2 անլար խոսափող (միկրոֆոն) և 2 բարձրախոս (դինամիկ): 
Բացման և փակման արարողությունների ժամանակ անհրաժեշտ են երաժշտական խմբեր, մասնավորապես՝  
•	Բացման արարողության ժամանակ անհրաժեշտ է դասական երաժշտության ապահովում՝ լարային քառյակի կատարմամբ (երաժշտական գործիքներով և անհրաժեշտ տեխնիկայով)՝ առավելագույնը՝ 1 ժամ տևողությամբ:
•	Փակման արարողության ժամանակ անհրաժեշտ է ջազ-բենդի կամ DJ-ի ապահովում (երաժշտական գործիքներով և անհրաժեշտ տեխնիկայով)՝ առավելագույնը՝ 2 ժամ տևողությամբ: 
•	Բացման արարողության համար՝ հանրային սննդի կազմակերպում, այդ թվում՝ Ֆուրշետի կազմակերպում (մեկ անգամ)՝ առավելագույնը 40 անձի (մասնակիցներ, հյուրեր) համար: Ֆուրշետը ներառում է նախուտեստներ, մսային տաք ուտեստներ, խորտիկներ, կանապեներ, աղցաններ, մրգի տեսականի, քաղցրավենիք, թեյ, սուրճ, շաքարավազ, զովացուցիչ ըմպելիքներ, գազավորված և ոչ գազավորված խմելու ջուր, խմիչք՝ կարմիր և սպիտակ գինի: 
Ճաշացանկը պետք է նախապես համաձայնեցնել Պատվիրատուի հետ:
•	Փակման արարողության համար՝ հանրային սննդի կազմակերպում, այդ թվում՝ Ֆուրշետի կազմակերպում (մեկ անգամ)՝ առավելագույնը 40 անձի (մասնակիցներ, հյուրեր) համար: Ֆուրշետը ներառում է նախուտեստներ, մսային տաք ուտեստներ, խորտիկներ, կանապեներ, աղցաններ, մրգի տեսականի, միջոցառման տարբերանշանով տորթ, թեյ, սուրճ, շաքարավազ, գազավորված և ոչ գազավորված խմելու ջուր զովացուցիչ ըմպելիքներ, խմիչք՝ կարմիր և սպիտակ գինի: 
Ճաշացանկը պետք է նախապես համաձայնեցնել Պատվիրատուի հետ:
3.Միջոցառման շրջանակներում Երևան քաղաքում հանրային սննդի կազմակերպում, այդ թվում՝ 
•	Սուրճի ընդմիջման կազմակերպում դասընթացների ընթացքում՝ յուրաքանչյուր օր՝ առավելագույնը 2 անգամ, սպասարկող անձակազմ անհրաժեշտ չէ, առավելագույնը  36 անձի (մասնակիցներ, դասախոսներ) համար՝ Պատվիրատուի կողմից նախատեսված վայրերում (հասցեները կտրամադրվեն նախապես):
Սուրճի ընդմիջումը ներառում է խմելու և հանքային ջուր, խմորեղեն/թխվածքաբլիթ, շաքարավազ, սեզոնային միրգ, զովացուցիչ ըմպելիքներ, թեյ, լուծվող սուրճ, այդ թվում՝ մշտապես տաք ջուր ապահովող էլեկտրական սարք կամ ջրի դիսպենսեր, մեկանգամյա օգտագործման միջին չափի թղթե բաժակներ և ափսեներ, սուրճը/թեյը խառնելու համար նախատեսված փայտիկներ, անձեռոցիկ: 
4.Միջոցառման շրջանակներում շրջայցերի կազմակերպում, այդ թվում՝ շրջայցերի ընթացքում տրանսպորտային միջոցի տրամադրում (ավտոբուսների և/կամ միկրոավտոբուսի)՝ ըստ Պատվիրատուի կողմից ներկայացված պատվեր-հայտի: 
Տրանսպորտային ծառայություններն անհրաժեշտ են միայն ստորև նշված օրերի և ուղղությունների համար:
Երևան քաղաքում նախատեսված է առավելագույնը 33 անձի համար, մեկնարկային կետ՝ հյուրանոց (տրանսպորտային ծառայության մատուցում), մասնավորապես՝ 
24.08.2026
•	Ժամը՝ 14:00 – Հյուրանոցից մեկնում բացման արարողության անցկացման վայր (գտնվելու վայրը նախապես կտրամադրվի Կատարողին),
•	Ժամը՝ 20:00  - Վերադարձ հյուրանոց:
25.08.2026
•	Ժամը՝ 14։00 - Սննդի կետից մեկնում «ՄԱՄ Կրթական շարժում» գրասենյակ (Արշակունյաց 17), 
•	ժամը՝ 16։00 - «ՄԱՄ Կրթական շարժում» գրասենյակից (Արշակունյաց 17) մեկնում Հայրենադարձության և ինտեգրման կենտրոն (Հանրապետության 37):
26.08.2026
•	ժամը՝ 14:00 - Սննդի կետից մեկնում «Դեպի Հայք» հիմնադրամ (Հանրապետության 37), 
•	ժամը՝ 16:00 - «Դեպի Հայք» հիմնադրամից (Հանրապետության 37) մեկնում Մ. Սարյանի տուն-թանգարան,
•	Ժամը՝ 18:00 - Մ. Սարյանի տուն-թանգարանից վերադարձ հյուրանոց:
27.08.2026
•	Ժամը՝ 09։15 – Հյուրանոցից մեկնում Հանրային հեռուստաընկերություն (Գարեգին Հովսեփյան փող., 26 շենք), 
•	Ժամը՝ 12։30  - Հանրային հեռուստաընկերությունից (Գարեգին Հովսեփյան փող., 26 շենք) մեկնում հյուրանոց: 
28.08.2026
•	ժամը՝ 14։00 – Սննդի կետից մեկնում Հայաստանի Ամերիկյան համալսարան (Մարշալ Բաղրամյան 40), 
•	Ժամը՝ 15։45 - Հայաստանի Ամերիկյան համալսարանից (Մարշալ Բաղրամյան 40) մեկնում  «Թումո» ստեղծարար տեխնոլոգիաների կենտրոն (Հալաբյան 16), 
•	Ժամը՝ 17։30 - «Թումո» ստեղծարար տեխնոլոգիաների կենտրոնից մեկնում (Հալաբյան 16) մեկնում հյուրանոց։
29.08.2026
•	Ժամը՝ 10:00 – Հյուրանոցից մեկնում Երիտասադական հիմանդրամների ներկայացուցիչների հետ հանդիպման վայր (գտնվելու վայրը նախապես կտրամադրվի Կատարողին)
•	Ժամը՝ 12:30 Երիտասադական հիմանդրամների ներկայացուցիչների հետ հանդիպման վայրից մեկնում սննդի կետ:
•	Ժամը՝ 14:00 – Սննդի կետից մեկնում Ազգային ժողով (Մարշալ Բաղրամյան 19),
•	Ժամը՝ 16:00 - Ազգային ժողովից մեկնում Սփյուռքի գործերի գլխավոր հանձնակատարի գրասենյակ,
•	Ժամը՝ 18:15 – Սփյուռքի գործերի գլխավոր հանձնակատարի գրասենյակից մեկնում տվյալ հանդիպման անցկացման դահլիճ (գտնվելու վայրը նախապես կտրամադրվի Կատարողին),
•	Ժամը՝ 21:00 – Տվյալ հանդիպման անցկացման դահլիճից (գտնվելու վայրը նախապես կտրամադրվի Կատարողին) մեկնում հյուրանոց։ 
30.08.2026
•	ժամը՝ 09:00-12:00 - Մեկնում հյուրանոցից Լոռու մարզ՝ «Քոաֆ Սմարթ կենտրոն» (գ.Դեբետ 1),
•	Ժամը՝ 12:00-13:00 – Այցելություն «Քոաֆ Սմարթ կենտրոն»,
•	Ժամը՝ 13:00-13:15 – Կենտրոնից (գ.Դեբետ 1) մեկնում մոտ գտնվող սննդի կետ,  
•	Ժամը՝ 13:30-15:00 – Ճաշ  սննդի կետում, 
•	Ժամը՝ 15:00-15:30 – Սննդի կետից մեկնում  գ.Դսեղի Հ.Թումանյանի տուն-թանգարան (գ.Դսեղ),
•	Ժամը՝ 15:30-16:30 - Այցելություն Հ.Թումանյանի տուն-թանգարան (Դսեղ 1),
•	Ժամը՝ 16:30-17:00 – Հ.Թումանյանի տուն-թանգարանից մեկնում Միկոյան եղբայրների տուն-թանգարան (գ.Սանահին), 
•	Ժամը՝ 17:00-18:00 – Այցելություն Միկոյան եղբայրների տուն-թանգարան (գ.Սանահին), 
•	Ժամը՝ 18:00-18:15 – Միկոյան եղբայրների տուն-թանգարանից մեկնում Սանահինի վանական համալիր (գ.Սանահին),
•	Ժամը՝ 18:15-19:15 – Այցելություն Սանահինի վանական համալիր (գ.Սանահին),
•	Ժամը՝ 19:15-19:45 - Սանահինի վանական համալիրից մեկնում հյուրանոց (գտնվելու վայրը նախապես կտրամադրվի Կատարողին),
•	Ժամը՝ 20:00-21:00 – Ընթրիքի կազմակերպում հյուրանոցում: 
31.08.2026
•	Ժամը՝ 08:00-09:00 – Նախաճաշ հյուրանոցում,, 
•	Ժամը՝ 09:30-10:00 – Հյուրանոցից մեկնում Հաղպատի վանական համալիր (գ.Հաղպատ),
•	ժամը՝ 10։00-11:00 - Այցելություն Հաղպատի վանական համալիր
•	Ժամը՝ 11:00-11:30 – Հաղպատի վանական համալիրից մեկնում Զարնի- Պարնի քարանձավ (գ.Հաղպատ)
•	ժամը՝ 11։30 – 12:30 - Այցելություն Զարնի Պարնի,
•	Ժամը՝ 12:30-13:00 – Զարնի-Պարնիից մեկնում Օձունի եկեղեցի (գ.Օձուն),
•	ժամը՝ 13:00-14:00 - Այցելություն Օձունի եկեղեցի,
•	Ժամը՝ 14:00-14:30 – Օձունի եկեղեցուց մեկնում մոտ գտնվող սննդի կետ,  
•	Ժամը՝ 14:30-15:30 – Ճաշ սննդի կետում,
•	Ժամը՝ 15:30-15:45 – Սննդի կետից մեկնում Ախթալայի վանական համալիր (գ.Ախթալա),
•	Ժամը՝ 15:45-16:20 - Այցելություն Ախթալայի վանական համալիր,
•	Ժամը՝ 16:20-16:45 – Ախթալայի վանական համալիրից մեկնում Արամյանցի դղյակ (գ.Ախթալա),
•	Ժամը՝ 16:45- 18:00 - Այցելություն Արամյանցի դղյակ,
•	Ժամը՝ 18:00-21:00 – Արամյանցի դղյակից մեկնում Երևան,
•	Ժամը՝ 21:00-22:00 – Ընթրիք Երևանում (հյուրանոցում կամ հյուրանոցին մոտ տարածքում):
01.09.2026
•	 Ժամը՝ 13։00-13:30 – Հյուրանոցից մեկնում մշակութային միջոցառման անցկացման վայր՝ Երևան քաղաքում (գտնվելու վայրը կտեղեկացվի Կատարողին):
•	Ժամը՝ 13։30-16:00 – Մասնակցություն մշակութային միջոցառման,
•	Ժամը՝ 16:00-16:30 – մեկնում հյուրանոց,
•	Ժամը՝ 18:30- Հյուրանոցից մեկնում Ա. Սպենդիարյանի անվան օպերայի և բալետի ազգային ակադեմիական թատրոն, 
•	Ժամը՝ 21:00 – Ա. Սպենդիարյանի անվան օպերայի և բալետի ազգային ակադեմիական թատրոնից մեկնում հյուրանոց:
02.09.2026
•	ժամը՝ 14։00-14:15 - Սննդի կետից (հյուրանոցում կամ հյուրանոցին մոտ տարածքում) մեկնում Հայոց ցեղասպանության հուշահամալիր (Ծիծեռնակաբերդի խճուղի):
Կատարողը պետք է ապահովի 66 հատ մեխակ (սպիտակ մեխակներ, բացառապես թարմ, ցողունի երկարությունը՝ առնվազն 80սմ, ծաղկի գլուխը /կոկոնը/՝ առնվազն 6սմ տրամագծով)` առնվազն 33 անձի (մասնակիցներ և առնվազն 3 ուղեկցող) համար, յուրաքանչյուրին՝  2-ական ծաղիկ: 
•	Ժամը՝ 16:00-16:30 – Հայոց ցեղասպանության հուշահամալիրից վերադարձ Սփյուռքի գործերի գլխավոր հանձնակատարի գրասենյակ (Վազգեն Սարգսյան 3): 
03.09.2026
•	Ժամը՝ 14:00 - Սննդի կետից մեկնում Ինժեներական քաղաք (Բագրևանդ 21/1),
•	Ժամը՝ 17:00 - Ինժեներական քաղաքից (Բագրևանդ 21/1) մեկնում միջոցառման անցկացման վայր (գտնվելու վայրը նախապես կտրամադրվի Կատարողին):
•	Ժամը՝ 18:00- Միջոցառման անցկացման վայրից մեկնում հյուրանոց:
04.09.2026
•	Ժամը՝ 09:30 – Հյուրանոցից մեկնում Անվտանգության խորհրդի գրասենյակ (Մարշալ Բաղրամյան 24),
Ժամը՝ 10։30-11:00 - Անվտանգության խորհրդի գրասենյակից մեկնում «Եռաբլուր» զինվորական պանթեոն (Կատարողը պետք է ապահովի 66 հատ մեխակ (սպիտակ մեխակներ, բացառապես թարմ, ցողունի երկարությունը՝ 80սմ, ծաղկի գլուխը /կոկոնը/՝ 6սմ տրամագծով)` 33 անձի (մասնակիցներ և առնվազն 3 ուղեկցող), յուրաքանչյուրին՝  2-ական ծաղիկ, 
•	Ժամը՝  11:00-12:00 – Եռաբլուր զինվորական պանթեոն,
•	Ժամը՝ 12:00 - 12։30 «Եռաբլուր» զինվորական պանթեոնից մեկնում հյուրանոց: 
05.09.2026
•	ժամը՝ 09։00 - Հյուրանոցից մեկնում «ՌեԱրմինիա» (Հալաբյան 65/5), 
•	ժամը՝ 13։00 – Մեկնում «ՌեԱրմինիա»- ից (Հալաբյան 65/5) հյուրանոց, 
•	ժամը՝ 18:00- Մեկնում փակման միջոցառման վայր,
•	ժամը՝ 21:00 – Փակման միջոցառման վայրից վերադարձ հյուրանոց:
06.09.2026
           ժամը՝ 09։00 – 12:00 – Հյուրանոցից մեկնում նկարահանման տաղավար (Ֆիլմի նկարահանում միջոցառման մասին):
Անհրաժեշտության դեպքում, Պատվիրատուի պահանջով, շրջայցերի օրերն ու ուղղությունները կարող են փոփոխվել, ինչի մասին կտեղեկացվի Պատվիրատուի կողմից առնվազն 2 օր առաջ՝ պահպանելով վերոնշյալ  ուղղությունների հեռավորությունները և մեկնարկային կետ սահմանելով տվյալ հյուրանոցը:
•	Վերոնշյալ բոլոր շրջայցերը պետք է իրականացվեն սարքին և մաքուր վիճակում գտնվող հարմարավետ տրանսպորտային միջոցներով՝ ավտոբուսներ և/կամ միկրոավտոբուսներ՝ առավելագույնը 33 անձի համար, որոնք պետք է հագեցած լինեն օդակարգավորման համակարգով, սառնարանով, բարձրախոսով, ամրագոտիներով: Տրանսպորտային միջոցի՝ ավտոբուսների և/կամ միկրոավտոբուսների տեխնիկական անսարքության դեպքում այն պետք է փոխարինվի համանման այլ տրանսպորտային միջոցով՝ առավելագույնը 1 ժամվա ընթացքում: Տրանսպորտային միջոցները պետք է լինեն առնվազն 2018 թվականի և/կամ բարձր տարեթվի արտադրության։
Երևան–Լոռի–Երևան ուղերթի համար մեկնարկային կետը նախատեսված է՝ հյուրանոցը (Երևան քաղաքում):
Օրակարգը նախապես կհաստատվի և կտրամադրվի պատասխանատու ստորաբաժանման կողմից: 
•	Երևան–Լոռի–Երևան շրջայցի ընթացքում՝ առավելագույնը՝ 33 անձի համար (մասնակիցներ և ուղեկցողներ) անհրաժեշտ է ապահովել 0.5 լիտր, պլաստմասե տարայով, սառեցված վիճակում խմելու ջուր, յուրաքանչյուր անձի համար` 4 հատ, ընդամենը՝ 264 հատ- 2 օրվա համար:
Շրջայցերի ընթացքում ավտոբուսներում և/կամ միկրոավտոբուսներում դեղատուփի առկայություն՝ առաջին օգնության անհրաժեշտության պարագաներ (ջերմիջեցնող, ցավազրկող, ջերմաչափ, բամբակ, բինտ, այլ): 
5.Միջոցառման շրջանակներում հանրային սննդի կազմակերպում, այդ թվում՝ Երևանում և Լոռու մարզում:
Ճաշի կազմակերպում՝ 
•	Երևան քաղաքում՝ առավելագույնը՝ 10 օր, յուրաքանչյուր օր՝ մեկ անգամ՝ առավելագույնը 33 անձի համար (սննդի կետը պետք է տեղակայված լինի օրակարգով սահմանված վայրերին մոտ՝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Ճաշի կազմակերպում՝ 
•	Լոռու մարզում՝ առավելագույնը՝ 2 օր, յուրաքանչյուր օր՝ մեկ անգամ, առավելագույնը 33 անձի համար (սննդի կետը պետք է տեղակայված լինի օրակարգով սահմանված վայրերին մոտ՝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Երևան քաղաքում և Լոռու մարզում կազմակերպվող ճաշը պետք է ներառի նախուտեստներ, մսային տաք ուտեստներ, խավարտներ, խորտիկներ, ապուր, աղցաններ, միրգ, թխվածք, թեյ, սուրճ, զովացուցիչ ըմպելիքներ:
Ճաշացանկը անհրաժեշտ է նախապես համաձայնեցնել պատասխանատու ստորաբաժանման հետ:
Ընթրիքի կազմակերպում՝ 
•	Երևան քաղաքում՝ առավելագույնը 10 օր,  յուրաքանչյուր օր՝ մեկ անգամ, առավելագույնը 33 անձի համար (սննդի կետը պետք է տեղակայված լինի  օրակարգով սահմանված վայրերին մոտ կամ ընթրիքը ներառվի հյուրանոցային ծառայությունների մեջ՝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Ընթրիքի կազմակերպում՝ 
•	Լոռու մարզում՝ 1 օր, մեկ անգամ, առավելագույնը 33 անձի համար (սննդի կետը պետք է տեղակայված լինի  օրակարգով սահմանված վայրերին մոտ կամ պետք է ընթրիքը ներառվի հյուրանոցային ծառայությունների մեջ՝ ժամանակի խնայողության և հարմարավետության ապահովման նպատակով: Սննդի կետը պետք է  լինի մաքուր, վերանորոգված, հարմարավետ և ապահովի մատչելիություն, բազմազանություն, ինչպես նաև համապատասխանի սանիտարական նորմերին): 
Ընթրիքը ներառում է  նախուտեստներ, մսային տաք ուտեստներ, խավարտներ, խորտիկներ, ապուր, աղցաններ, միրգ, թխվածք, թեյ, սուրճ, զովացուցիչ ըմպելիքներ:
Ճաշացանկը անհրաժեշտ է նախապես համաձայնեցնել Պատասխանատու ստորաբաժանման հետ:
6.Միջոցառման շրջանակներում մասնակիցների ճանաչողական, հաղորդակցական, առաջնորդութ¬յան, կառավարման, բանակցային գիտելիքների և հմտությունների բարելավման, ինչպես նաև քաղաքական, սոցիալ-տնտեսական, կրթամշակութային և այլ ոլորտների վերաբերյալ տեղեկացվածության մակարդակը բարձրացնելու նպատակով՝ Կատարողը պետք է կազմակերպի Երևան քաղաքում սեմինար-հանդիպումներ, թեմատիկ քննարկումներ Հայաստանում վերոնշյալ ոլորտների մասնագետների կողմից տասնմեկ օրվա ընթացքում) մասնագիտական հանդիպումներ, սեմինար-հանդիպումներ, թեմատիկ քննարկումներ, դասախոսություններ), յուրաքանչյուր հանդիպում՝ առնվազն մեկ դասաժամի տևողությամբ (մեկ դասաժամի տևողությունը՝ 90 րոպե), յուրաքանչյուր օր առնվազն 4 հանդիպում (հանդիպումների անցկացման վայրերը կտրամադրվի պատասխանատու ստորաբաժանման կողմից՝ օրակարգի համաձայն): 
Վերոնշյալ հանդիպումների ընթացքում Կատարողը պետք է ապահովի 11 օրվա ընթացքում (մասնակիցների և մասնագետների համար) խմելու ջուր՝ առավելագույնը 1584 հատ ՝ 0.5լ, պլաստմասե տարայով:
Մասնագետների ընտրությունը և հանդիպումների օրերն ու ժամերն անհրաժեշտ է նախապես համաձայնեցնել պատասխանատու ստորաբաժանման հետ: 
7.Միջոցառման շրջանակներում տեսանկարահանման և լուսանկարահանման ծառայություններ, այդ թվում՝ կատարողը պարտավոր է միջոցառման ընթացքում՝ առավելագույնը 13 օր, իրականացնել օրվա ամբողջական տեսանկարահանում և լուսանկարահանում:
Օրերի ընտրությունը և բաշխումը կատարում է Պատվիրատուն: Տեսանկարահանումը և լուսանակարահանումը պետք է իրականացվեն առանձին տեսանկարահանող և լուսանկարահանող խմբերի կողմից:
Տեսա-լուսանկարահանումներն իրականացվելու են տարբեր վայրերում, ներառյալ՝ Երևանում և Լոռիում (տրանսպորտային և կեցության ծախսերը ներառված են արժեքի մեջ)։ Անհրաժեշտության դեպքում նկարահանումները կարող են իրականացվել ոչ աշխատանքային օրերի և ժամերի: Միջոցառման ավարտից առավելագույնը 30 օր հետո Կատարողը պետք է Պատվիրատուին տրամադրի ծրագրի վերաբերյալ ամփոփիչ ֆիլմը: Ֆիլմի տևողությունը պետք է լինի առնվազն 15 րոպե: Կատարողը պետք է ապահովի ֆիլմի նկարահանումների համար տաղավար, որտեղ պետք է իրականացվեն հարցազրույցներ մասնակիցների, գրասենյակի աշխատակիցների և դասախոսների հետ՝ միջոցառման վերաբերյալ տպավորությունները ներկայացնելու նպատակով: 
Նախքան նկարահանումների մեկնարկը Կատարողը պարտավոր է Պատվիրատուին ներկայացնել ֆիլմի նախնական սցենարային տարբերակը և կատարել Պատվիրատուի կողմից ներկայացված փոփոխությունները: Կատարողը պարտավոր է ապահովել ֆիլմի սցենարական պլանի 2 տարբերակների վերջնական մշակում, տեսանկարահանման նախագիծ/տեսանկարահանում, ֆիլմի մոնտաժ, երաժշտական ձևավորում, լրագրողական/հետկադրային տեքստի պատրաստում և ձայնագրում, ենթագրերի տեղադրում: Ֆիլմը պետք է Պատվիրատուին տրամադրվի անգլերեն և  ռուսերեն ենթագրերով, Կատարողը պարտավոր է իրականացնել թարգմանությունը:
Եթե ֆիլմն ունի լրագրողական տեքստ, Կատարողը նախապես պետք է այն համաձայնեցնի Պատվիրատուի հետ: Կատարողը, ըստ Պատվիրատուի հետ ձեռք բերված համաձայնության, կտրամադրի նաև ֆիլմի անոնսային տարբերակը: 
Ֆիլմը պետք է համապատասխանի հետևյալ չափորոշիչներին՝ 
•	նկարահանումները 4k ֆորմատով, 25fps չափանիշներով,
•	բոլոր տեսարանների անցումներում ձայնային «ինտերշումի» գործածություն,
•	տեսաֆիլմերում օգտագործվող երաժշտական կտորները՝ գնված և հեղինակային իրավունքի պահպանմամբ,
•	պատկեր՝ վայրկյանում 30 կադր,
•	լուսային սարքավորումների, ձայնային սարքավորումների, կցվող միկրոֆոնների ապահավում,
•	տեքստ՝ ձայնի և պատկերի հետ բովանդակային և պատկերավոր առավելագույն պարզ համադրում, ձայնային, անիմացիոն, գրաֆիկական և այլ լուծումներով։ 
Ֆիլմը պետք է ունենա վիզուալ փակում և բացում, ձայնային ձևավորում (շապիկ, բլյում և այլն)։ 
Անհրաժեշտության դեպքում Կատարողը կիրականացնի դրոնով նկարահանումներ՝ իր կողմից ձեռքբերված դրոնով նկարահանման թույլտվությամբ։ Նկարահանումների ընթացքում Կատարողը պետք է ապահովի 2 տեսախցիկ՝ կադրին համապատասխան օբյեկտիվներով: Տեսանկարահանումների ողջ ընթացքում օպերատորի, ռեժիսորի և լրագրողի ներկայությունը պարտադիր է: Լրագրողը պարտավոր է իրականացնել անգլերեն և ռուսերեն լեզուներով հարցազրույցներ, եթե մասնակիցները չեն տիրապետում հայերենին։
Պատվիրատուն իրավունք ունի մինչև ֆիլմի վերջնական տարբերակի հաստատումը կատարել՝ անհրաժեշտության դեպքում, առավելագույնը 7 անգամ  դիտարկում և/կամ փոփոխություն՝ նախապես Կատարողի հետ ձեռքբերված պայմանավորվածության համաձայն։ Կատարողը պարտավոր է տրամադրել Պատվիրատուին ֆիլմի համար իրականացրած նաև նկարահանումների չմոնտաժված ամբողջական նյութերը կոշտ կրիչով: 
Կատարողը պարտավոր է տրամադրել Պատվիրատուին  փակման արարողության ժամանակ ամփոփ տեսանյութ՝ ցուցադրելու նպատակով՝ առնվազն 5 րոպե տևողությամբ: 
Պրոֆեսիոնալ տեսախցիկով լուսանկարահանումներից հետո յուրաքանչյուր հաջորդ օրվա ընթացքում Կատարողը պարտավոր է Պատվիրատուին տրամադրել նախորդ օրվա նկարահանումների մշակված լուսանկարները: Յուրաքանչյուր օրվա համար Կատարողը Պատվիրատուին պետք է տրամադրի առավելագույնը 30 մշակված լուսանկար և չմշակված մնացյալ լուսանկարները: 
Լուսանկարները պետք է համապատասխանեն հետևյալ չափորոշիչներին`
• 45MP Full-Frame CMOS Sensor,
• DIGIC X Image Processor,
• Sensor-Shift 5-Axis Image Stabilization,
• 12 fps Mech. Shutter, 20 fps E. Shutter,
• 0.5" 5.76m-Dot OLED EVF,
• Subject Tracking with Deep Learning.
Lուսանկարները պետք է.
1.	Պարունակեն ծրագրի բրենդային տարրերը՝ ծրագրի լոգոյով իրերը (բաներ, նոթատետր, հագուստ և այլն),
2.	Միջոցառման բոլոր մասնակիցների, հյուրերի, կազմակերպիչների խոշոր/պորտրետային պլաններով լուսանկարներ,
3.	Խմբերի միջին պլանով լուսանկարներ,
4.	Հավաքատեղիների, այցելած վայրերի ընդհանուր պլանները, որպեսզի ֆոտոյից հասկանալի լինի, թե որտեղ է իրականանում գործողությունը,
5.	Դասերի, հանդիպումների, այցերի ավարտին բոլոր մասնակիցների խմբակային պատկերները,
6.	Կարևոր է, որ մասնակիցները և հրավիրված հյուրերը նկարահանվեն խոշոր և միջին պլաններով: 
Լուսանկարները պետք է լինեն վառ և բնական գույներով, պատկերը պետք է լինի հստակ, լույսից չվառված:
Կատարողը պարտավոր է տրամադրել լուսանկարներն ամբողջությամբ՝ բարձր որակով։ Կատարողը պարտավոր է, Պատվիրատուի հետ նախօրոք պայմանավորվածության դեպքում, լուսանկարների մշակման փուլում օգտագործել նաև Պատվիրատուի տրամադրած վիզուալ ձևավորումները (լոգո, շրջանակ և այլն)։ Պատվիրատուն՝ անհրաժեշտության դեպքում, կներկայացնի դիտարկում և/կամ փոփոխություն՝ առավելագույնը 2 անգամ:
8.Միջոցառման շրջանակներում մշակութային միջոցառումների կազմակերպում, այդ թվում՝ մեկ այցելություն թատրոն կամ համերգ՝ Երևան քաղաքում:
Նախատեսված է առավելագույնը 33 անձի համար:
Ժամանակացույցը Պատվիրատուի կողմից նախապես կհաստատվի և կտրամադրվի:
Վճարումներն իրականացվելու են փաստացի մատուցված ծառայությունների դիմաց՝ ըստ անձերի թվաքանակի: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համաձայն տեխնիկա 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համաձայն տեխնիկա կան բնութագրի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C73DE3" w:rsidTr="00833C6F">
        <w:trPr>
          <w:tblCellSpacing w:w="7" w:type="dxa"/>
          <w:jc w:val="center"/>
        </w:trPr>
        <w:tc>
          <w:tcPr>
            <w:tcW w:w="0" w:type="auto"/>
            <w:vAlign w:val="center"/>
          </w:tcPr>
          <w:p w:rsidR="00C64A88" w:rsidRPr="002C08AA" w:rsidRDefault="00A201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132" w:rsidRDefault="00A20132">
      <w:r>
        <w:separator/>
      </w:r>
    </w:p>
  </w:endnote>
  <w:endnote w:type="continuationSeparator" w:id="0">
    <w:p w:rsidR="00A20132" w:rsidRDefault="00A2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132" w:rsidRDefault="00A20132">
      <w:r>
        <w:separator/>
      </w:r>
    </w:p>
  </w:footnote>
  <w:footnote w:type="continuationSeparator" w:id="0">
    <w:p w:rsidR="00A20132" w:rsidRDefault="00A20132">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B1691D" w:rsidRPr="00B1691D" w:rsidRDefault="00450F4A" w:rsidP="00B1691D">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w:t>
      </w:r>
      <w:r w:rsidR="00B1691D" w:rsidRPr="00B1691D">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450F4A" w:rsidRPr="00154C0F" w:rsidRDefault="00B1691D" w:rsidP="00B1691D">
      <w:pPr>
        <w:pStyle w:val="FootnoteText"/>
        <w:rPr>
          <w:rFonts w:asciiTheme="minorHAnsi" w:hAnsiTheme="minorHAnsi" w:cstheme="minorHAnsi"/>
          <w:i/>
          <w:sz w:val="16"/>
          <w:szCs w:val="16"/>
          <w:lang w:val="hy-AM"/>
        </w:rPr>
      </w:pPr>
      <w:r w:rsidRPr="00B1691D">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450F4A" w:rsidRPr="00154C0F">
        <w:rPr>
          <w:rFonts w:asciiTheme="minorHAnsi" w:hAnsiTheme="minorHAnsi" w:cstheme="minorHAnsi"/>
          <w:i/>
          <w:sz w:val="16"/>
          <w:szCs w:val="16"/>
          <w:lang w:val="hy-AM"/>
        </w:rPr>
        <w:t>,</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3E3C"/>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132"/>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1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DE3"/>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57A8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fontTable" Target="fontTable.xm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56BD-E9EA-4EF6-899B-98291704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51</Pages>
  <Words>17343</Words>
  <Characters>98858</Characters>
  <Application>Microsoft Office Word</Application>
  <DocSecurity>0</DocSecurity>
  <Lines>823</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115970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288</cp:revision>
  <cp:lastPrinted>2018-02-16T07:12:00Z</cp:lastPrinted>
  <dcterms:created xsi:type="dcterms:W3CDTF">2020-06-23T11:05:00Z</dcterms:created>
  <dcterms:modified xsi:type="dcterms:W3CDTF">2025-12-09T08:18:00Z</dcterms:modified>
</cp:coreProperties>
</file>