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սննդի ձեռքբերման նպատակով ՀԱԱՀ-ԷԱՃԱՊՁԲ-26/22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սննդի ձեռքբերման նպատակով ՀԱԱՀ-ԷԱՃԱՊՁԲ-26/22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սննդի ձեռքբերման նպատակով ՀԱԱՀ-ԷԱՃԱՊՁԲ-26/22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սննդի ձեռքբերման նպատակով ՀԱԱՀ-ԷԱՃԱՊՁԲ-26/22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(պոլիմերային)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բ/տ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սև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կաթնային սալիկ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ապակյա շշերում։ Անվտանգությունը` ըստ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պոլիմերային շշերում։ Անվտանգությունը` ըստ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կարտոֆիլի մեխանիկական մշակումից, բարձր, I, II տեսակների (17-20) % խոնավության զանգվածային մասով: Անվտանգությունը՝ N 2-III-4.9-01-2010 հիգիենիկ նորմատիվների և «Սննդամթերքի անվտանգության մասին» ՀՀ օրենքի 8-րդ հոդվածի: Պիտանելիության ժամկետը մատակարարման պահին՝ առնվազն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բ/տ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15%-ից, մետաղամագնիսական խառնուրդները՝ ոչ ավելի 3%-ից, մոխրի զանգվածային մասը՝ չոր նյութի 0.75%, հում սոսնձանյութի քանակությունը՝ առնվազն 30%: ՀՍՏ 280-2007: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յուղայնությունը՝ առնվազն 82,5%, բարձր որակի, թարմ վիճակում, պրոտեինի պարունակությունը 0,7գ, ածխաջուր 0,7գ, 740 կկալ: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տեսակի, զտված, հոտազերծված։ Գործարանային 1լ տարաներով: Անվտանգությունը՝ N 2-III-4.9-01-2010 հիգիենիկ նորմատիվների, մակնշումը`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լուծույթով): Շաքարի լուծույթը պետք է լինի թափանցիկ, առանց լուծված և կողմնակի խառնուրդների, սախարոզի զանգվածային մասը` 99.75%-ից ոչ պակաս (չոր նյութի վրա հաշված):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կարգի կերակրի սոդա, 0,5 կգ-անոց թղթյա փաթեթավորում։ ՀՍՏ 280-2007: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սև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72%-ոց: Կակաո-յուղի պարունակությունը՝ 37/39%: Կալետների տեսքով: Իրեն բնորոշ համով, առանց կողմնակի համերի և հոտերի: Մակերեսին առանց սպիտակ հետքերի: Պիտանելիության ժամկետը մատակարարման պահին առնվազն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կաթնային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զանգվածի պարունակությունը՝ 31%, կակաոյուղը՝ 32/34% Կալետների տեսքով: Իրեն բնորոշ կաթնային համով, առանց կողմնակի համերի և հոտերի: Մակերեսին առանց սպիտակ հետքերի: Պիտանելիության ժամկետը մատակարարման պահին՝ առնվազն 80%: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բ/տ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սև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կաթնային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