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վառելիքի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էթանոլ-5 %, իզոպրոպիլ
սպիրտ-10%, իզոբուտիլ սպիրտ-10%,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Պատվիրատուների կողմից ներկայացված քանակներն առավելագույնն է և այն կարող է նվազեցվել վերջիններիս կողմից: Վճարումը կատարվում է փաստացի մատակարարված
ապրանքի մասով: Մատակարարումը համայնքի կողմից մշակված կտրոնային սիստեմով։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պրոպան, տրանսպորտային միջոցների ներքին այրման շարժիչներում որպես վառելիք օգտագործելու համար: Գլամոթի լիցքավորման ընթացքում բնական գազի ավելցուկի ճնշումը պետք է համապատասխանի ԱԳԼՃԿ-ի և լիցքավորվող գազագլանոթային միջոցների տեխնիկական պայմաններին և
չպետք է գերազանցի 1,2 ՄՊա ճնշման սահմանը, գլանոթ լիցքավորվող գազի ջերմաստիճանից ոչ ավել քան 15°C: Պայմանական նշանները՝ «Վախենում է կրակից»: Անվտանգությունը՝ հրավտանգ, պայթունավտանգ։ Գազի
լիցքավորումը՝ Աբովյան համայնքի վարչական տարածքում գտնվող գազալցակայանների միջոցով։ Մատակարարման պայմաններ՝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մինչև տվյալ տարվա հուլիսի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Абовяք. Աբովյան, Բարեկամության հր. 1н,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մինչև տվյալ տարվա հուլիսի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