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ЕГУ</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Ал. Манукяна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кондиционеров для нужд фонда YSU.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Мовсес Товмасян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060710009, 060710013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ЕГУ</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ЕГУ</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ЕГУ</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кондиционеров для нужд фонда YSU.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кондиционеров для нужд фонда YSU.</w:t>
      </w:r>
      <w:r w:rsidR="00812F10" w:rsidRPr="00E4651F">
        <w:rPr>
          <w:rFonts w:cstheme="minorHAnsi"/>
          <w:b/>
          <w:lang w:val="ru-RU"/>
        </w:rPr>
        <w:t xml:space="preserve">ДЛЯ НУЖД </w:t>
      </w:r>
      <w:r w:rsidR="0039665E" w:rsidRPr="0039665E">
        <w:rPr>
          <w:rFonts w:cstheme="minorHAnsi"/>
          <w:b/>
          <w:u w:val="single"/>
          <w:lang w:val="af-ZA"/>
        </w:rPr>
        <w:t>Фонд ЕГУ</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кондиционеров для нужд фонда YSU.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ԵՊՀ-ԷԱՃԱՊՁԲ-26/67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ЕГУ</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ԵՊՀ-ԷԱՃԱՊՁԲ-26/67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ԵՊՀ-ԷԱՃԱՊՁԲ-26/67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ԵՊՀ-ԷԱՃԱՊՁԲ-26/67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0.18</w:t>
      </w:r>
      <w:r w:rsidRPr="00E4651F">
        <w:rPr>
          <w:rFonts w:cstheme="minorHAnsi"/>
          <w:lang w:val="hy-AM"/>
        </w:rPr>
        <w:t>(</w:t>
      </w:r>
      <w:r w:rsidRPr="00C94657">
        <w:rPr>
          <w:rFonts w:cstheme="minorHAnsi"/>
          <w:lang w:val="hy-AM"/>
        </w:rPr>
        <w:t>ноль целых восемнадцать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w:t>
      </w:r>
      <w:r w:rsidRPr="00E4651F">
        <w:rPr>
          <w:rFonts w:cstheme="minorHAnsi"/>
          <w:color w:val="000000" w:themeColor="text1"/>
          <w:lang w:val="ru-RU"/>
        </w:rPr>
        <w:t xml:space="preserve"> (</w:t>
      </w:r>
      <w:r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Ответственный отдел: Фонд YSU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сплит; мощность: минимум 18000 BTU; площадь покрытия: не менее 60 м²; компрессор: инверторный; режимы: охлаждение, обогрев, самоочистка; класс энергоэффективности: минимум A; тип газа: R410A или R32; уровень шума: не более 48 дБ; напряжение питания: 220-240В/50Гц; класс гидроизоляции наружных блоков: IPX4; с пультом дистанционного управления. Кондиционеры должны быть новыми и неиспользованными. Транспортировка, разгрузка, установка, демонтаж старых кондиционеров и подключение осуществляются средствами поставщика. Гарантийный срок: не менее 3 лет. С каждым кондиционером должен прилагаться защитный экран.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сплит; мощность: минимум 12000 BTU; площадь покрытия: не менее 40 м²; компрессор: инверторный; режимы: охлаждение, обогрев, самоочистка; класс энергоэффективности: минимум A; тип газа: R410A или R32; уровень шума: не более 48 дБ; напряжение питания: 220-240В/50Гц; класс гидроизоляции наружных блоков: IPX4; с пультом дистанционного управления. Кондиционеры должны быть новыми и неиспользованными. Транспортировка, разгрузка, установка, демонтаж старых кондиционеров и подключение осуществляются средствами поставщика. Гарантийный срок: не менее 3 лет. С каждым кондиционером должен прилагаться защитный экран.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сплит; мощность: минимум 9000 BTU; площадь покрытия: не менее 30 м²; компрессор: инверторный; режимы: охлаждение, обогрев, самоочистка; класс энергоэффективности: минимум A; тип газа: R410A или R32; уровень шума: не более 48 дБ; напряжение питания: 220-240В/50Гц; класс гидроизоляции наружных блоков: IPX4; с пультом дистанционного управления. Кондиционеры должны быть новыми и неиспользованными. Транспортировка, разгрузка, установка, демонтаж старых кондиционеров и подключение осуществляются средствами поставщика. Гарантийный срок: не менее 3 лет. С каждым кондиционером должен прилагаться защитный экран.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split; мощность: минимум 24000 BTU; площадь покрытия: не менее 30 м²; компрессор: инверторный; режимы: охлаждение, обогрев, самоочистка; класс энергоэффективности: минимум A; тип газа: R410A или R32; уровень шума: не более 48 дБ; напряжение питания: 220-240В/50Гц; класс гидроизоляции наружных блоков: IPX4; с пультом дистанционного управления. Кондиционеры должны быть новыми и неиспользованными. Транспортировка, разгрузка, установка, демонтаж старых кондиционеров и подключение осуществляются средствами поставщика. Гарантийный срок: не менее 3 лет. С каждым кондиционером должен прилагаться защитный экран.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36000-58000 BTU; площадь покрытия: не менее 110 м²; обогрев, охлаждение, моющийся воздушный фильтр, таймер, авторестарт и самодиагностика. Гарантийный срок: не менее 4 лет. Товар должен быть новым и неиспользованным.
Транспортировка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осуществлено в 2026 году в течение 20–30 календарных дней после предусмотрения соответствующих финансовых средств и заключения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