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тонерных и чернильных 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тонерных и чернильных 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тонерных и чернильных картриджей</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тонерных и чернильных 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38ml, black.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29ml.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Цвет: красный или синий, или жёлтый.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 должен иметь срок годности не менее 12 месяцев со дня поставки.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Color LaserJet CP5225 Professional  (при наличии чипа, включая чип), с возможностью печати минимум 7000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Canon i-SENSYS MF655Cdw (при наличии чипа, включая чип), с возможностью печати минимум 2300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7018c (при наличии чипа, включая чип), с возможностью печати минимум 1000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предназначенные для цветного струйного принтера Epson L15160; Yellow or Cyan or Magenta or Black; ёмкостью не менее  70 мл; 103.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L1300; Yellow or Cyan or Magenta or Black;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L800/810/850/1800; Yellow or Cyan or Magenta or  Black or Light Magenta or Light Cyan;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модели Canon i-SENSYS MF 463,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i-SENSYS MF 443/445 и HP LaserJet M428,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6310DN и HP LaserJet P2055d, с возможностью печати минимум 6500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MF4550d и HP LaserJet  M1536dnf, с возможностью печати минимум 2100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2900 и HP LaserJet 1018,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 211/Mf 231 и HP LaserJet M127fn, с возможностью печати минимум 2200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HP LaserJet Pro MFP M130fn или HP LaserJet Pro MFP M132fn, с возможностью печати минимум 1600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6020B/6030B, Canon Mf 3010 и HP LaserJet P1102,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