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26/14-ԷԱՃ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ՍՄՍԲԿ-ԷԱՃԱՊՁԲ-26/14</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26/14-ԷԱՃ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26/14-ԷԱՃ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26/14-ԷԱՃ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 232, RS 422, RS 485 ցանցային փոխակերպիչ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 232, RS 422, RS 485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Возможность настройки устройства должна обеспечиваться как минимум через последовательную консоль, утилиту Windows, консоль Telnet и веб-консоль (HTTP).
• Количество интерфейсов: 2, RS232 и 10/100BaseT(X) RJ45
• Возможность управления устройством должна обеспечиваться как минимум через DHCP Client, IPv4, SMTP, Telnet, DNS, HTTP, ARP, BOOTP, UDP, TCP/IP и ICMP.
• Наличие защиты от магнитной изоляции не менее 1,5 кВ (встроенная)
• Соответствие стандартам безопасности не ниже EN 62368-1, IEC 62368-1 и UL 60950-1
• Электромагнитная восприимчивость (ЭМС) должна соответствовать как минимум следующим стандартам:
o IEC 61000-4-2 ESD: Контактный: 4 кВ; Воздушный: 8 кВ
o IEC 61000-4-3 RS: от 80 МГц до 1 ГГц. 3 В/м
o IEC 61000-4-4 EFT: Мощность: 1 кВ; Сигнал: 1 кВ
o IEC 61000-4-5 Перенапряжение: Мощность: 1 кВ
o IEC 61000-4-6 CS: от 150 кГц до 80 МГц: 3 В/м; Сигнал: 3 В/м
o IEC 61000-4-8 PFMF IEC 61000-4-11
• Среднее время безотказной работы (MTBF) не менее 3 126 448 часов
• Наличие программного обеспечения (драйвера) для Windows 11, 10, 8.1, 8, 7, Vista, XP, Windows Server 2022, 2019, 2016, 2012 R2, 2012, 2008 R2, 2008, 2003 и Windows Embedded CE 6.0, 5.0, а также Windows XP Embedded.
• Данные аутентификации хранятся на устройстве.
• Режимы работы: Выкл., Ethernet-модем, Парное соединение, Реальный COM, Обратный Telnet, TCP-клиент, TCP-сервер, UDP.
• Гарантийный срок производителя не менее 5 лет.
В комплект поставки должны входить аксессуары для работы устройства и гарантийный талон.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RS 232, RS 422, RS 485 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