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2026.03.10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ԵՔ-ԷԱՃԱՊՁԲ-26/92</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Мэрия Еревана</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Аргишти ул. 1</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оцинкованный гофрированный лист</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09:30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11</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09:30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11</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Աննման Փիլոսյան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annman.pilosyan@yerevan.am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011-514-316</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Мэрия Еревана</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ԵՔ-ԷԱՃԱՊՁԲ-26/92</w:t>
      </w:r>
      <w:r w:rsidRPr="00F32D53">
        <w:rPr>
          <w:rFonts w:ascii="Calibri" w:hAnsi="Calibri" w:cstheme="minorHAnsi"/>
          <w:i/>
        </w:rPr>
        <w:br/>
      </w:r>
      <w:r w:rsidRPr="00F32D53">
        <w:rPr>
          <w:rFonts w:ascii="Calibri" w:hAnsi="Calibri" w:cstheme="minorHAnsi"/>
          <w:szCs w:val="20"/>
          <w:lang w:val="af-ZA"/>
        </w:rPr>
        <w:t>2026.03.10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Мэрия Еревана</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Мэрия Еревана</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оцинкованный гофрированный лист</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оцинкованный гофрированный лист</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Мэрия Еревана</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ԵՔ-ԷԱՃԱՊՁԲ-26/92</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annman.pilosyan@yerevan.am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оцинкованный гофрированный лист</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26759750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Ցինկապատ ծալքաթիթեղ (ԿՊ 21)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09:30</w:t>
      </w:r>
      <w:r w:rsidRPr="00F32D53">
        <w:rPr>
          <w:rFonts w:ascii="Calibri" w:hAnsi="Calibri" w:cstheme="minorHAnsi"/>
          <w:lang w:val="ru-RU"/>
        </w:rPr>
        <w:t>" часов "</w:t>
      </w:r>
      <w:r w:rsidR="003955D4" w:rsidRPr="00F32D53">
        <w:rPr>
          <w:rFonts w:ascii="Calibri" w:hAnsi="Calibri" w:cstheme="minorHAnsi"/>
          <w:lang w:val="af-ZA"/>
        </w:rPr>
        <w:t>11</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377.27</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4.7436</w:t>
      </w:r>
      <w:r w:rsidRPr="00F32D53">
        <w:rPr>
          <w:rFonts w:ascii="Calibri" w:hAnsi="Calibri" w:cstheme="minorHAnsi"/>
          <w:szCs w:val="22"/>
        </w:rPr>
        <w:t xml:space="preserve"> драмом, евро </w:t>
      </w:r>
      <w:r w:rsidR="00991780" w:rsidRPr="00F32D53">
        <w:rPr>
          <w:rFonts w:ascii="Calibri" w:hAnsi="Calibri" w:cstheme="minorHAnsi"/>
          <w:lang w:val="af-ZA"/>
        </w:rPr>
        <w:t>437.9</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2026.03.24. 09:30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Мэрия Еревана</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ԵՔ-ԷԱՃԱՊՁԲ-26/92</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ԵՔ-ԷԱՃԱՊՁԲ-26/92</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'ԵՔ-ԷԱՃԱՊՁԲ-26/92'</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ԵՔ-ԷԱՃԱՊՁԲ-26/92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Мэрия Еревана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"ԵՔ-ԷԱՃԱՊՁԲ-26/92"*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ԵՔ-ԷԱՃԱՊՁԲ-26/92</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ԵՔ-ԷԱՃԱՊՁԲ-26/92</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5</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5</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25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__</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0.1(__)</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1</w:t>
      </w:r>
      <w:r w:rsidRPr="00F32D53">
        <w:rPr>
          <w:rFonts w:ascii="Calibri" w:hAnsi="Calibri" w:cstheme="minorHAnsi"/>
          <w:color w:val="000000" w:themeColor="text1"/>
          <w:lang w:val="ru-RU"/>
        </w:rPr>
        <w:t xml:space="preserve"> (</w:t>
      </w:r>
      <w:r w:rsidRPr="00F32D53">
        <w:rPr>
          <w:rFonts w:ascii="Calibri" w:hAnsi="Calibri" w:cstheme="minorHAnsi"/>
          <w:lang w:val="hy-AM"/>
        </w:rPr>
        <w:t>__</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__</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__</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__</w:t>
      </w:r>
    </w:p>
    <w:p w:rsidR="004E55B0" w:rsidRPr="00E4651F" w:rsidRDefault="004E55B0" w:rsidP="004E55B0">
      <w:pPr>
        <w:tabs>
          <w:tab w:val="left" w:pos="1276"/>
        </w:tabs>
        <w:rPr>
          <w:rFonts w:cstheme="minorHAnsi"/>
        </w:rPr>
      </w:pPr>
      <w:r w:rsidRPr="001B6358">
        <w:rPr>
          <w:rFonts w:cstheme="minorHAnsi"/>
          <w:lang w:val="hy-AM"/>
        </w:rPr>
        <w:t>__</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__</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8.15.Права и обязанности покупателя, предусмотренные настоящим Договором, осуществляются аппаратом главы административного района Шенгавит в порядке, установленном законодательством РА.</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Ցինկապատ ծալքաթիթեղ (ԿՊ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Оцинкованный гофрированный лист КП 21 /ширина 1050 мм, монтажная ширина 1000 мм, толщина 0,55 мм/. Оцинкованный гофрированный лист должен соответствовать действующим нормативным требованиям Республики Армения, а также квалификационным и параметрическим показателям продукции. Транспортировка и разгрузка оцинкованных гофрированных листов должны осуществляться поставщиком на складе, предоставленном главой Шенгавитского административного района.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Шенгавит административный район, Гарегин Нжде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21-го календарного дня включительно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Ցինկապատ ծալքաթիթեղ (ԿՊ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