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ՀԱԷԿ-ԷԱՃԱՊՁԲ-35/26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защитных средств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Марине Манавджян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marine.manavjyan@anpp.am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ՀԱԷԿ-ԷԱՃԱՊՁԲ-35/26</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защитных средств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защитных средств</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ՀԱԷԿ-ԷԱՃԱՊՁԲ-35/26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marine.manavjyan@anpp.am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защитных средств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для дезактивации обуви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Костюм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"ՀԱԷԿ-ԷԱՃԱՊՁԲ-35/26"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"ՀԱԷԿ-ԷԱՃԱՊՁԲ-35/26"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ՀԱԷԿ-ԷԱՃԱՊՁԲ-35/26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для дезактивации обуви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должны быть на деревянной основе, межпространство до 1 см, размером 430X430 мм, щетина полипропилен, высота ворса 25±1 мм, толщина щетинок(Ø) 1 - 1.5 мм, щетина должна быть эластичной, восстанавливающей форму после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100% х/б, «Молескин-Стандарт Р25»  плотность 250±12 гр/м², куртка связана от центра к воротнику на 5 завязках, потайная накладка из ткани, спинка цельнокроеная, воротник отложной в одну сторону, два кармана с клапанами в нижней части 17х17(±1)см и две на груди, правая с прозрачным окошком 13х14(±1)см и накладкой, закрытой лейкопластырем, левая 13х14(±1)см, разделенная на две частей, одна с прозрачным окошком 13х9(±1)см, другая с прозрачным окошком 13х5(±1)см и в целом с заплатой, заклеенной липкой лентой, концы рукавов собраны резиновым шнуром, брюки собраны на резинке, талия и штаны собраны на резинку, два накладных кармана в области бедер, 17х26(±1)см, цвет белый, упаковка индивидуальный комплект, размерная бирка и вешалка, ГОСТ 27575-87, ТР ТС 019/2011 или аналог.
Размер 52, рост 3-4 (170-176), комплект 200,
размер 54, рост 3-4 (176-182), комплект 250,
размер 56, рост 5-6 (182-188), комплект 250,
размер 58, рост 5-6 (182-188), комплект 250,
размер 60, рост 5-6 (182-188), комплект 300,
размер 62, рост 5-6 (182-188), комплект 300,
размер 64, рост 5-6 (182-188), комплект 300,
 размер 66, рост 5-6 (182-188), комплект 300,
 размер 68, рост 5-6 (182-188), комплект 250.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для дезактивации обуви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