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ՍՄԳԲԿ-ԷԱՃԱՊՁԲ-26/21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ГОРИСИ БЖШКАКАН КЕНТРОН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г.Горис, ул. Татаеваци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устройство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Карине Торозян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info@gorismc.am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(284)22152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ГОРИСИ БЖШКАКАН КЕНТРОН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ՍՄԳԲԿ-ԷԱՃԱՊՁԲ-26/21</w:t>
      </w:r>
      <w:r w:rsidRPr="00E4651F">
        <w:rPr>
          <w:rFonts w:asciiTheme="minorHAnsi" w:hAnsiTheme="minorHAnsi" w:cstheme="minorHAnsi"/>
          <w:i/>
        </w:rPr>
        <w:br/>
      </w:r>
      <w:r w:rsidR="00A419E4" w:rsidRPr="00E4651F">
        <w:rPr>
          <w:rFonts w:asciiTheme="minorHAnsi" w:hAnsiTheme="minorHAnsi" w:cstheme="minorHAnsi"/>
          <w:szCs w:val="20"/>
          <w:lang w:val="af-ZA"/>
        </w:rPr>
        <w:t>2026.03.10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ГОРИСИ БЖШКАКАН КЕНТРОН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ГОРИСИ БЖШКАКАН КЕНТРОН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устройство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устройство</w:t>
      </w:r>
      <w:r w:rsidR="00812F10" w:rsidRPr="00E4651F">
        <w:rPr>
          <w:rFonts w:cstheme="minorHAnsi"/>
          <w:b/>
          <w:lang w:val="ru-RU"/>
        </w:rPr>
        <w:t xml:space="preserve">ДЛЯ НУЖД </w:t>
      </w:r>
      <w:r w:rsidR="0039665E" w:rsidRPr="0039665E">
        <w:rPr>
          <w:rFonts w:cstheme="minorHAnsi"/>
          <w:b/>
          <w:u w:val="single"/>
          <w:lang w:val="af-ZA"/>
        </w:rPr>
        <w:t>ГОРИСИ БЖШКАКАН КЕНТРОН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ՍՄԳԲԿ-ԷԱՃԱՊՁԲ-26/21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info@gorismc.am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устройство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пациента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4.87</w:t>
      </w:r>
      <w:r>
        <w:rPr>
          <w:rFonts w:ascii="Calibri" w:hAnsi="Calibri" w:cstheme="minorHAnsi"/>
          <w:szCs w:val="22"/>
        </w:rPr>
        <w:t xml:space="preserve"> драмом, евро </w:t>
      </w:r>
      <w:r>
        <w:rPr>
          <w:rFonts w:ascii="Calibri" w:hAnsi="Calibri" w:cstheme="minorHAnsi"/>
          <w:lang w:val="af-ZA"/>
        </w:rPr>
        <w:t>444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ՍՄԳԲԿ-ԷԱՃԱՊՁԲ-26/21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ГОРИСИ БЖШКАКАН КЕНТРОН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ՍՄԳԲԿ-ԷԱՃԱՊՁԲ-26/21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ՍՄԳԲԿ-ԷԱՃԱՊՁԲ-26/21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ՍՄԳԲԿ-ԷԱՃԱՊՁԲ-26/21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11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пациента
Монитор пациента рисует кардиограммы, измеряет кровяное давление (неинвазивный тип), показатели дыхания, температуру в двух точках, насыщение артериальной крови кислородом (SpO2) и частоту пульса (ЧСС)
Используется для мониторинга пациентов во время транспортировки с помощью батареек, а измеренная информация о состоянии пациента отображается в виде волн вместе с числовыми значениями.
Дисплей/Экран
Дисплей: Цветной TFT или LCD дисплей, кривые диагонали экрана и измеренные значения: не менее чем 12,1”, не менее чем 7 кривых, а также поля отображения яркости: настраиваются вручную
Скорость развертки: регулируется до 6,25, 12,5, 25 мм/с
Пиксели дисплея: не менее чем 800x600
Интерфейсы монитора
не менее чем работы от сети / аккумулятора, работа от сети: через встроенный источник питания
Работа от батареи: с помощью встроенного аккумулятора или консоли зарядки.
Время работы от батареи: не менее чем 2,5 часов.
Источник питания: 220В, 50/60 Гц
Буфер: для значений тренда
Расширение системы
Обновления программного обеспечения через интерфейсы: расширение диапазона параметров производительности
Параметры мониторинга включают: ЭКГ, RESP, NIBP, SPO2, ЧАСТОТУ пульса, синхронное обнаружение и анализ двухтемпературного сегмента S-T
Графические и табличные тренды всех параметров
NIBP, HEART RATE, TEMP, SPO2, RESP, хранение данных (не менее чем 360 часов)
Возможность подключения к центральной станции мониторинга
Внутренний термоточечный матричный принтер высокой четкости, способный выводить осциллограммы и символы
ECG
Вход: Кабель ЭКГ, стандартный кабельный разъем AAMI
Калибровочный сигнал: 1 мВ
Частота сердечных сокращений: Диапазон измерения: не менее чем от 25 до 250 ударов в минуту
Режим сигнализации: Звуковая и визуальная сигнализация
NIBP
Способ: Осциллографический
Режим: Ручной, автоматический, статический, разрешение 1 мм рт. ст.
Интервал измерения в автоматическом режиме: не менее чем в диапазоне 2-60 минут
Период измерения в режиме статистики: 5 мин
Диапазон частоты пульса: не менее чем 40-220 ударов в минуту
Тип сигнализации: SYS, DIA, MEAN
Диапазон измерения и сигнализации (не менее чем)
Режим для взрослых
SYS: 40-240 mmHg
DIA: 13-210 mmHg
MEAN: 26-230 mmHg
Педиатрический режим
SYS: 40- 200 mmHg
DIA: 13-150 mmHg
MEAN: 26-160 mmHg
Неонатальный режим
SYS: 10 -135 mmHg
DIA: 13 -100 mmHg
MEAN: 26-110 mmHg
Разрешающее давление: 1 мм рт. ст.
Точность Максимальная средняя погрешность давления: ±5 мм рт. ст.
Максимальное стандартное отклонение: ±8 мм рт. ст.
Защита от избыточного давления
Режим для взрослых: 300±3 мм рт. ст.
Педиатрический режим: 240±3 мм рт. ст.
Неонатальный режим: 150±3 мм рт. ст.
SpO2
Диапазон измерения и сигнализации (не менее чем)
Диапазон измерения: 1-100 %
Диапазон срабатывания сигнализации: 40-100 %
Разрешение: 1 %
Точность: 70% -100% ±2 %; 1%-69% ±5%
Интервал актуализации: около 1 секунды.
Задержка сигнала тревоги: 10 Сек., Частота пульса
Диапазон измерения и сигнализации: 30-250 уд / мин
Разрешение: 1 уд / мин, точность: ±2 уд / мин
Дыхание (респирация)
Диапазон измерения и сигнализации (не менее чем)
Способ: Импеданс между R-F (RA-LL)
Дифференциальное входное сопротивление: » 2,5 MΩ
Диапазон измерения импеданса: 0,3-5,0 Ом
Диапазон импеданса базовой линии: 0 – 2,5 КОм
Полоса пропускания: 0,3-2,5 Гц
Частота дыхания
Диапазон измерения и сигнализации 
Взрослый: 0-120 rpm
Neo/Ped: 0 -150 rpm
Разрешение: ±2 rpm
Точность: ±2 rpm
Тревога Апноэ: 10-40 С
Температура
Диапазон измерения и сигнализации (не менее чем)
Канал: 2
Диапазон измерения и сигнализации: 0-50 °C, разрешение: 0,1 °C
Точность: ±0,1 °C
Интервал актуализации: около 1 секунды.
Средняя постоянная времени: «10 сек.
Акссесуары:
Электродный кабель для одноразового электрода (3 или 5 выводов)
Манжета NIBP для взрослых
Манжета NIBP для детей
Манжета NIBP для новорожденных
Шланг для манжеты NIBP
Шнур питания
Одноразовый электрод (5 шт)
Датчик SpO2 многоразового использования для взрослых
Примечание: В дополнение к 3 многоразовым датчиком SpO2 для взрослых, поставляемым с мониторами, должно также поставляться 2 многоразовых датчика SpO2 для новорожденных, совместимых с теми же мониторами 
Комплектация и акссесуары:
Установка и пуско-наладочные работы
Обучение персонала на месте
Руководство пользователя на армянском или английском, или русском языках
Оборудование должно быть новым, неиспользованным, производство не ранее 2025 года.
В комплект входят все необходимые дополнительные устройства и аксессуары для полноценной работы оборудования 
Гарантия не менее чем 24 месяцев
Сертификаты качества (наличие)
ИСО 13485 или эквивалент
CE Mark (Directive 93/42/EEC) или FDA или экви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