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տոներային քարթրիջների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տոներային քարթրիջների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տոներային քարթրիջների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տոներային քարթրիջների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ՀԳԴ-ԷԱՃԱՊՁԲ-26/4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ՀԳԴ-ԷԱՃԱՊՁԲ-26/4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ԴԱՏԱԽԱԶՈՒԹՅԱՆ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ՀՊ ԼՋ 1012,1015,1018, 1020,1022 (HP LJ 1010,1012,1015,1018,1020,1022), Canon LBP 2900 տպիչների  համար:
Փաթեթավորումը՝ փաթեթավորված փակ պոլիէթիլենային թաղանթով կամ կրկնակի փաթեթավորված օդապարկիկներով պոլիէթիլենային թաղանթով, տեղադրված ստվարաթղթե գործարանային փակ տուփի մեջ: Տուփը՝ գործարանային փակ և արտադրող ֆիրմայի մակնշմամբ: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HP LJ P 1005, 1102, Canon LBP 6030  տպիչների  համար:
Փաթեթավորումը՝ փաթեթավորված փակ պոլիէթիլենային թաղանթով կամ կրկնակի փաթեթավորված օդապարկիկներով պոլիէթիլենային թաղանթով, տեղադրված ստվարաթղթե գործարանային փակ տուփի մեջ: Տուփը՝ գործարանային փակ և արտադրող ֆիրմայի մակնշմամբ: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MF 4410 տպիչների համար:
Փաթեթավորումը՝ փաթեթավորված փակ պոլիէթիլենային թաղանթով կամ կրկնակի փաթեթավորված օդապարկիկներով պոլիէթիլենային թաղանթով, տեղադրված ստվարաթղթե գործարանային փակ տուփի մեջ: Տուփը՝ գործարանային փակ և արտադրող ֆիրմայի մակնշմամբ: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Քենոն ՄՖ212 (Canon MF212, 231, 237) տպիչների համար:
Փաթեթավորումը՝ փաթեթավորված փակ պոլիէթիլենային թաղանթով կամ կրկնակի փաթեթավորված օդապարկիկներով պոլիէթիլենային թաղանթով, տեղադրված ստվարաթղթե գործարանային փակ տուփի մեջ: Տուփը՝ գործարանային փակ և արտադրող ֆիրմայի մակնշմամբ: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օրացույցային օրվա ընթացքում:  III եռամս.-մինչև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օրացույցային օրվա ընթացքում:  III եռամս.-մինչև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IV եռամս.-մինչև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IV եռամս.-մինչև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