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кондиционеров для нужд Фонда «Центр технологического и информационного обеспечения социальных услуг «Норк»».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ՆՍԾՏԻԿ-ԷԱՃԱՊՁԲ-26/11</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кондиционеров для нужд Фонда «Центр технологического и информационного обеспечения социальных услуг «Норк»».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кондиционеров для нужд Фонда «Центр технологического и информационного обеспечения социальных услуг «Норк»».</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кондиционеров для нужд Фонда «Центр технологического и информационного обеспечения социальных услуг «Норк»».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Обслуживаемая площадь – 31–40 м², размер наружного блока – 54,9×79,5×30,5 см.
Мощность (BTU) – 12000, основные режимы – обогрев/охлаждение, минимальная температура в режиме обогрева – (-25°C).
Размеры внутреннего блока – 30,6×82×19,5 см.
Тепловая мощность – 3,8 кВт, мощность охлаждения – 3,51 кВт.
Класс – инверторный, тип хладагента – R32.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