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топлива на  второй квартал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ՄՏԲԿ-ԷԱՃԱՊՁԲ-26/11</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топлива на  второй квартал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топлива на  второй квартал 2026 года</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топлива на  второй квартал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июня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Нечетное число определяется методом исследования, не менее 91. Не менее 81 автомобиля. Содержание свинца не превышает 5 мг / дм3. Плотность при температуре 15 0 С составляет 720-775 кг / м 3. Содержание серы не более 10 мг / кг. Объемная доля углеводов не более ароматических - 21%, олефинов - 21%, углекислого газа - не более 1%. Массовая доля кислорода - не более 2,7%. Содержание щавелевой кислоты в оксидах - 3%, этаноле - 5%, изопропиловом спирте - 10%, изобутиловом спирте - 10%, триабутиловом спирте - 7%, эфире (C5 и выше) - 15%, других оксидах - , Безопасность, маркировка и упаковка утвержденный Решением N 1592-N от Правительства РА  11 ноября  2004 года. «Технический регламент на топливо для двигателей внутреннего сгорания», Поставка, купон. Купоны должны быть новыми, неиспользованными.Талоны поставщика на бензин необходимо погашать на заправочных станциях, расположенных во всех городах республики.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