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стандартные химические растворы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ԱԱԻ-ԷԱՃԱՊՁԲ-26/23</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стандартные химические растворы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стандартные химические растворы</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стандартные химические растворы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кадмия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меди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хрома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ртути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ртути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ДДД-4.4՛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 ՀՔՑՀ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Н-Гексадекан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буферный раствор pH= 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буферный раствор pH= 7,0+-0,1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мышьяка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селена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натрия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кадмия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кадмия 1,0 мг/млб ГСО 7773-2000,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меди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меди 1,0 мг/мл,   ГСО 7764-2000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хрома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хрома 1,0 мг/мл,   CAS 7440-47-3 , наличие 1/2 срока годности на момент сдачи, от поставщика, аккредитованного стандартом ISO 17034-2016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ртути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ртути 1,0 мг/мл,   ГСО 7343-96,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ртути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ртути 1,0 мг/мл,   CAS 7439-97-6, наличие 1/2 срока годности на момент сдачи, от поставщика, аккредитованного стандартом ISO 17034-2016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ДДД-4.4՛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ДДД-4.4՛  CAS 000072-54-8,  1000мкг/мл, наличие 1/2 срока годности на момент сдачи, от поставщика, аккредитованного стандартом ISO 17034-2016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 ՀՔՑՀ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 ՀՔՑՀ  ГСО 8889-2007, 98,4-100%,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Н-Гексадекан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Н-Гексадекан ,наличие 1/2 срока годности на момент сдачи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буферный раствор pH= 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буферный раствор pH= 4,0 MA9004, водный раствор солей,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буферный раствор pH= 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буферный раствор pH= 7,0 MA9007, водный раствор солей,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мышьяка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мышьяка 1,0 мг/мл,   ГСО 7976-2001,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селена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селена N 89498, 1,0 г/л,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калия N 86686.180, 1000 мг/л,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натрия N 86693.180, 1000 мг/л, наличие 1/2 срока годности на момент сдачи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сентября 2026г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сентября 2026г после заключения договора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мая 2026г после заключения договора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мая 2026г после заключения договора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кадмия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меди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хрома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ртути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ртути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ДДД-4.4՛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 ՀՔՑՀ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Н-Гексадекан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буферный раствор pH= 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буферный раствор pH= 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мышьяка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селена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