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ՍՄԿԲԿ-ԷԱՃԱՊՁԲ-26/24</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внешний вид чистый и прозрачный, октановое число, определенное по методу исследования, не менее 91, по моторному методу, не менее 81, Давление насыщенных паров бензина от 45 до 100 кПа, Содержание свинца не более 5 мг/дм3, Объем бензола не более 1%, плотность при 15 ° С, от 720 до 775 кг / м 3, Массовая доля серы не более 10 мг/кг , массовая доля кислорода - не более 2,7%․ Mаркировка и упаковка в соответствии с Постановлением Правительства РА 2004 года. «Технический регламент на топливо для двигателей внутреннего сгорания», утвержденный Решением № 1592-N от 11 ноября 2009 г. Поставка купонами.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 ° С при 820–845 кг / м3, содержание серы не более 350 мг / кг, температура воспламенения не менее 550 °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«Технический регламент о двигателях внутреннего сгорания», утвержденный Решением № 1592-N от 11 ноября 2007 г. Поставка с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 если поставщик не согласится на более раннюю поставку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 если поставщик не согласится на более раннюю поставку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31․08․2026г․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